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EA" w:rsidRDefault="002A5DEA" w:rsidP="00E44D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Выступление на </w:t>
      </w:r>
      <w:r w:rsidR="00905BA8">
        <w:rPr>
          <w:b/>
          <w:sz w:val="28"/>
          <w:szCs w:val="28"/>
        </w:rPr>
        <w:t>Общественном совете при Министерстве</w:t>
      </w:r>
      <w:r>
        <w:rPr>
          <w:b/>
          <w:sz w:val="28"/>
          <w:szCs w:val="28"/>
        </w:rPr>
        <w:t xml:space="preserve"> финансов РА</w:t>
      </w:r>
    </w:p>
    <w:p w:rsidR="002A5DEA" w:rsidRDefault="002A5DEA" w:rsidP="00E44D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44D21" w:rsidRPr="00E44D21">
        <w:rPr>
          <w:b/>
          <w:sz w:val="28"/>
          <w:szCs w:val="28"/>
        </w:rPr>
        <w:t>ОБ ИСПОЛНЕНИИИ КОНСОЛИДИРОВАННОГО И РЕСПУБЛИКАНСКОГО БЮДЖЕТОВ ЗА 2014 год</w:t>
      </w:r>
      <w:r>
        <w:rPr>
          <w:b/>
          <w:sz w:val="28"/>
          <w:szCs w:val="28"/>
        </w:rPr>
        <w:t xml:space="preserve"> </w:t>
      </w:r>
    </w:p>
    <w:p w:rsidR="00E44D21" w:rsidRDefault="002A5DEA" w:rsidP="00E44D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ЗАДАЧАХ</w:t>
      </w:r>
      <w:proofErr w:type="gramEnd"/>
      <w:r>
        <w:rPr>
          <w:b/>
          <w:sz w:val="28"/>
          <w:szCs w:val="28"/>
        </w:rPr>
        <w:t xml:space="preserve"> НА 2015 ГОД»</w:t>
      </w:r>
    </w:p>
    <w:p w:rsidR="00675052" w:rsidRPr="00E44D21" w:rsidRDefault="00905BA8" w:rsidP="00E44D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(19</w:t>
      </w:r>
      <w:r w:rsidR="00675052">
        <w:rPr>
          <w:b/>
          <w:sz w:val="28"/>
          <w:szCs w:val="28"/>
        </w:rPr>
        <w:t xml:space="preserve"> марта 2015 г.)</w:t>
      </w:r>
    </w:p>
    <w:p w:rsidR="00E44D21" w:rsidRDefault="00E44D21" w:rsidP="00EC6C1C">
      <w:pPr>
        <w:ind w:firstLine="720"/>
        <w:jc w:val="both"/>
        <w:rPr>
          <w:sz w:val="28"/>
          <w:szCs w:val="28"/>
        </w:rPr>
      </w:pPr>
    </w:p>
    <w:p w:rsidR="004C67BB" w:rsidRPr="00E44D21" w:rsidRDefault="004C67BB" w:rsidP="00E44D21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44D21">
        <w:rPr>
          <w:sz w:val="28"/>
          <w:szCs w:val="28"/>
        </w:rPr>
        <w:t xml:space="preserve">В 2014 году ключевыми задачами </w:t>
      </w:r>
      <w:r w:rsidR="00014A00" w:rsidRPr="00E44D21">
        <w:rPr>
          <w:sz w:val="28"/>
          <w:szCs w:val="28"/>
        </w:rPr>
        <w:t xml:space="preserve"> бюджетн</w:t>
      </w:r>
      <w:r w:rsidRPr="00E44D21">
        <w:rPr>
          <w:sz w:val="28"/>
          <w:szCs w:val="28"/>
        </w:rPr>
        <w:t>ой</w:t>
      </w:r>
      <w:r w:rsidR="00014A00" w:rsidRPr="00E44D21">
        <w:rPr>
          <w:sz w:val="28"/>
          <w:szCs w:val="28"/>
        </w:rPr>
        <w:t xml:space="preserve"> и налогов</w:t>
      </w:r>
      <w:r w:rsidRPr="00E44D21">
        <w:rPr>
          <w:sz w:val="28"/>
          <w:szCs w:val="28"/>
        </w:rPr>
        <w:t>ой</w:t>
      </w:r>
      <w:r w:rsidR="00014A00" w:rsidRPr="00E44D21">
        <w:rPr>
          <w:sz w:val="28"/>
          <w:szCs w:val="28"/>
        </w:rPr>
        <w:t xml:space="preserve"> политик</w:t>
      </w:r>
      <w:r w:rsidRPr="00E44D21">
        <w:rPr>
          <w:sz w:val="28"/>
          <w:szCs w:val="28"/>
        </w:rPr>
        <w:t>и</w:t>
      </w:r>
      <w:r w:rsidR="00014A00" w:rsidRPr="00E44D21">
        <w:rPr>
          <w:sz w:val="28"/>
          <w:szCs w:val="28"/>
        </w:rPr>
        <w:t xml:space="preserve"> Республики Адыгея </w:t>
      </w:r>
      <w:r w:rsidRPr="00E44D21">
        <w:rPr>
          <w:sz w:val="28"/>
          <w:szCs w:val="28"/>
        </w:rPr>
        <w:t xml:space="preserve">являлись </w:t>
      </w:r>
      <w:r w:rsidRPr="00E44D21">
        <w:rPr>
          <w:rFonts w:eastAsiaTheme="minorHAnsi"/>
          <w:bCs/>
          <w:sz w:val="28"/>
          <w:szCs w:val="28"/>
          <w:lang w:eastAsia="en-US"/>
        </w:rPr>
        <w:t>обеспечение сбалансированности и устойчивости бюджетной системы в Республике Адыгея,</w:t>
      </w:r>
      <w:r w:rsidRPr="00E44D21">
        <w:rPr>
          <w:sz w:val="28"/>
          <w:szCs w:val="28"/>
        </w:rPr>
        <w:t xml:space="preserve"> обеспечение исполнение всех действующих социальных обязательств, в том числе </w:t>
      </w:r>
      <w:r w:rsidRPr="00E44D21">
        <w:rPr>
          <w:rFonts w:eastAsiaTheme="minorHAnsi"/>
          <w:bCs/>
          <w:sz w:val="28"/>
          <w:szCs w:val="28"/>
          <w:lang w:eastAsia="en-US"/>
        </w:rPr>
        <w:t>реализаци</w:t>
      </w:r>
      <w:r w:rsidR="004B5D4C" w:rsidRPr="00E44D21">
        <w:rPr>
          <w:rFonts w:eastAsiaTheme="minorHAnsi"/>
          <w:bCs/>
          <w:sz w:val="28"/>
          <w:szCs w:val="28"/>
          <w:lang w:eastAsia="en-US"/>
        </w:rPr>
        <w:t>я</w:t>
      </w:r>
      <w:r w:rsidRPr="00E44D21">
        <w:rPr>
          <w:rFonts w:eastAsiaTheme="minorHAnsi"/>
          <w:bCs/>
          <w:sz w:val="28"/>
          <w:szCs w:val="28"/>
          <w:lang w:eastAsia="en-US"/>
        </w:rPr>
        <w:t xml:space="preserve"> первоочередных задач социальной сферы, поставленных в Указах Президента Российской Федерации от 7 мая 2012 года, сохранение долговой устойчивости и</w:t>
      </w:r>
      <w:r w:rsidR="00891967" w:rsidRPr="00E44D21">
        <w:rPr>
          <w:rFonts w:eastAsiaTheme="minorHAnsi"/>
          <w:bCs/>
          <w:sz w:val="28"/>
          <w:szCs w:val="28"/>
          <w:lang w:eastAsia="en-US"/>
        </w:rPr>
        <w:t xml:space="preserve"> финансовое обеспечение бюджета развития.</w:t>
      </w:r>
      <w:r w:rsidRPr="00E44D21">
        <w:rPr>
          <w:rFonts w:eastAsiaTheme="minorHAnsi"/>
          <w:bCs/>
          <w:sz w:val="28"/>
          <w:szCs w:val="28"/>
          <w:lang w:eastAsia="en-US"/>
        </w:rPr>
        <w:t xml:space="preserve">  </w:t>
      </w:r>
      <w:proofErr w:type="gramEnd"/>
    </w:p>
    <w:p w:rsidR="00C9432E" w:rsidRPr="00E44D21" w:rsidRDefault="00C9432E" w:rsidP="00E44D21">
      <w:pPr>
        <w:ind w:firstLine="709"/>
        <w:jc w:val="both"/>
        <w:rPr>
          <w:sz w:val="28"/>
          <w:szCs w:val="28"/>
        </w:rPr>
      </w:pPr>
      <w:r w:rsidRPr="00E44D21">
        <w:rPr>
          <w:sz w:val="28"/>
          <w:szCs w:val="28"/>
        </w:rPr>
        <w:t>Исполнение консолидированного и  республиканского бюджетов за 2014 год характеризуется следующими показателями.</w:t>
      </w:r>
    </w:p>
    <w:p w:rsidR="00C9432E" w:rsidRPr="00E44D21" w:rsidRDefault="00C9432E" w:rsidP="00E44D21">
      <w:pPr>
        <w:ind w:firstLine="709"/>
        <w:jc w:val="both"/>
        <w:rPr>
          <w:sz w:val="28"/>
          <w:szCs w:val="28"/>
        </w:rPr>
      </w:pPr>
      <w:r w:rsidRPr="00E44D21">
        <w:rPr>
          <w:sz w:val="28"/>
          <w:szCs w:val="28"/>
        </w:rPr>
        <w:t>Поступления в консолидированный бюджет  налоговых и неналоговых доходов составили  9</w:t>
      </w:r>
      <w:r w:rsidR="00E44D21">
        <w:rPr>
          <w:sz w:val="28"/>
          <w:szCs w:val="28"/>
        </w:rPr>
        <w:t xml:space="preserve"> миллиардов </w:t>
      </w:r>
      <w:r w:rsidRPr="00E44D21">
        <w:rPr>
          <w:sz w:val="28"/>
          <w:szCs w:val="28"/>
        </w:rPr>
        <w:t>257</w:t>
      </w:r>
      <w:r w:rsidR="00E44D21">
        <w:rPr>
          <w:sz w:val="28"/>
          <w:szCs w:val="28"/>
        </w:rPr>
        <w:t>,3</w:t>
      </w:r>
      <w:r w:rsidRPr="00E44D21">
        <w:rPr>
          <w:sz w:val="28"/>
          <w:szCs w:val="28"/>
        </w:rPr>
        <w:t xml:space="preserve"> </w:t>
      </w:r>
      <w:r w:rsidR="00E44D21">
        <w:rPr>
          <w:sz w:val="28"/>
          <w:szCs w:val="28"/>
        </w:rPr>
        <w:t>миллионов</w:t>
      </w:r>
      <w:r w:rsidRPr="00E44D21">
        <w:rPr>
          <w:sz w:val="28"/>
          <w:szCs w:val="28"/>
        </w:rPr>
        <w:t xml:space="preserve"> рублей, что на  487 </w:t>
      </w:r>
      <w:r w:rsidR="00E44D21">
        <w:rPr>
          <w:sz w:val="28"/>
          <w:szCs w:val="28"/>
        </w:rPr>
        <w:t>миллионов</w:t>
      </w:r>
      <w:r w:rsidRPr="00E44D21">
        <w:rPr>
          <w:sz w:val="28"/>
          <w:szCs w:val="28"/>
        </w:rPr>
        <w:t xml:space="preserve"> рублей превышает поступления 2013 года, в процентном выражении рост составил 5,6 процентов.</w:t>
      </w:r>
    </w:p>
    <w:p w:rsidR="00C9432E" w:rsidRPr="00E44D21" w:rsidRDefault="00C9432E" w:rsidP="00E44D21">
      <w:pPr>
        <w:pStyle w:val="a3"/>
        <w:ind w:firstLine="709"/>
        <w:rPr>
          <w:szCs w:val="28"/>
        </w:rPr>
      </w:pPr>
      <w:r w:rsidRPr="00E44D21">
        <w:rPr>
          <w:szCs w:val="28"/>
        </w:rPr>
        <w:t>Безвозмездные поступления в бюджет Республики Адыгея поступили в меньшем объеме по сравнению с 2013 годом на 856,6 миллионов рублей и составили 6</w:t>
      </w:r>
      <w:r w:rsidR="00E44D21">
        <w:rPr>
          <w:szCs w:val="28"/>
        </w:rPr>
        <w:t xml:space="preserve"> миллиардов </w:t>
      </w:r>
      <w:r w:rsidRPr="00E44D21">
        <w:rPr>
          <w:szCs w:val="28"/>
        </w:rPr>
        <w:t>834,3 млн. рублей, из которых наибольшую долю поступлений составили дотации из федерального бюджета в сумме 4</w:t>
      </w:r>
      <w:r w:rsidR="00E44D21">
        <w:rPr>
          <w:szCs w:val="28"/>
        </w:rPr>
        <w:t xml:space="preserve"> миллиарда </w:t>
      </w:r>
      <w:r w:rsidRPr="00E44D21">
        <w:rPr>
          <w:szCs w:val="28"/>
        </w:rPr>
        <w:t xml:space="preserve">161 </w:t>
      </w:r>
      <w:r w:rsidR="00E44D21">
        <w:rPr>
          <w:szCs w:val="28"/>
        </w:rPr>
        <w:t>миллион</w:t>
      </w:r>
      <w:r w:rsidRPr="00E44D21">
        <w:rPr>
          <w:szCs w:val="28"/>
        </w:rPr>
        <w:t xml:space="preserve"> рублей.</w:t>
      </w:r>
    </w:p>
    <w:p w:rsidR="00C9432E" w:rsidRPr="00E44D21" w:rsidRDefault="00C9432E" w:rsidP="00E44D21">
      <w:pPr>
        <w:pStyle w:val="a3"/>
        <w:ind w:firstLine="709"/>
        <w:rPr>
          <w:szCs w:val="28"/>
        </w:rPr>
      </w:pPr>
      <w:r w:rsidRPr="00E44D21">
        <w:rPr>
          <w:szCs w:val="28"/>
        </w:rPr>
        <w:t>Таким образом, общий объем доходов консолидированного бюджета республики составил 16</w:t>
      </w:r>
      <w:r w:rsidR="00E44D21">
        <w:rPr>
          <w:szCs w:val="28"/>
        </w:rPr>
        <w:t xml:space="preserve"> миллиардов </w:t>
      </w:r>
      <w:r w:rsidRPr="00E44D21">
        <w:rPr>
          <w:szCs w:val="28"/>
        </w:rPr>
        <w:t xml:space="preserve">91,5 </w:t>
      </w:r>
      <w:r w:rsidR="00E44D21">
        <w:rPr>
          <w:szCs w:val="28"/>
        </w:rPr>
        <w:t>миллионов</w:t>
      </w:r>
      <w:r w:rsidRPr="00E44D21">
        <w:rPr>
          <w:szCs w:val="28"/>
        </w:rPr>
        <w:t xml:space="preserve"> рублей, что на 369,6</w:t>
      </w:r>
      <w:r w:rsidR="00E44D21">
        <w:rPr>
          <w:szCs w:val="28"/>
        </w:rPr>
        <w:t xml:space="preserve"> миллионов</w:t>
      </w:r>
      <w:r w:rsidRPr="00E44D21">
        <w:rPr>
          <w:szCs w:val="28"/>
        </w:rPr>
        <w:t xml:space="preserve"> рублей меньше по сравнению с  общим объемом доходов 2013 года. </w:t>
      </w:r>
    </w:p>
    <w:p w:rsidR="00C9432E" w:rsidRPr="00E44D21" w:rsidRDefault="00C9432E" w:rsidP="00E44D21">
      <w:pPr>
        <w:ind w:firstLine="709"/>
        <w:jc w:val="both"/>
        <w:rPr>
          <w:sz w:val="28"/>
          <w:szCs w:val="28"/>
        </w:rPr>
      </w:pPr>
      <w:r w:rsidRPr="00E44D21">
        <w:rPr>
          <w:sz w:val="28"/>
          <w:szCs w:val="28"/>
        </w:rPr>
        <w:t>Расходы консолидированного бюджета исполнены в сумме  16</w:t>
      </w:r>
      <w:r w:rsidR="00E44D21">
        <w:rPr>
          <w:sz w:val="28"/>
          <w:szCs w:val="28"/>
        </w:rPr>
        <w:t xml:space="preserve"> миллиардов </w:t>
      </w:r>
      <w:r w:rsidRPr="00E44D21">
        <w:rPr>
          <w:sz w:val="28"/>
          <w:szCs w:val="28"/>
        </w:rPr>
        <w:t xml:space="preserve">908,7 </w:t>
      </w:r>
      <w:r w:rsidR="00E44D21">
        <w:rPr>
          <w:sz w:val="28"/>
          <w:szCs w:val="28"/>
        </w:rPr>
        <w:t>миллионов</w:t>
      </w:r>
      <w:r w:rsidRPr="00E44D21">
        <w:rPr>
          <w:sz w:val="28"/>
          <w:szCs w:val="28"/>
        </w:rPr>
        <w:t xml:space="preserve"> рублей, что на 37,7 </w:t>
      </w:r>
      <w:r w:rsidR="00E44D21">
        <w:rPr>
          <w:sz w:val="28"/>
          <w:szCs w:val="28"/>
        </w:rPr>
        <w:t>миллиона</w:t>
      </w:r>
      <w:r w:rsidRPr="00E44D21">
        <w:rPr>
          <w:sz w:val="28"/>
          <w:szCs w:val="28"/>
        </w:rPr>
        <w:t xml:space="preserve"> рублей ниже уровня 2013 года</w:t>
      </w:r>
      <w:r w:rsidR="00D41AE8" w:rsidRPr="00E44D21">
        <w:rPr>
          <w:sz w:val="28"/>
          <w:szCs w:val="28"/>
        </w:rPr>
        <w:t xml:space="preserve"> с выполнением плановых назначений 2014 года на 94,8 процента. Дефицит составил 817,2 </w:t>
      </w:r>
      <w:r w:rsidR="00E44D21">
        <w:rPr>
          <w:sz w:val="28"/>
          <w:szCs w:val="28"/>
        </w:rPr>
        <w:t>миллионов</w:t>
      </w:r>
      <w:r w:rsidR="00D41AE8" w:rsidRPr="00E44D21">
        <w:rPr>
          <w:sz w:val="28"/>
          <w:szCs w:val="28"/>
        </w:rPr>
        <w:t xml:space="preserve"> рублей.</w:t>
      </w:r>
      <w:r w:rsidRPr="00E44D21">
        <w:rPr>
          <w:sz w:val="28"/>
          <w:szCs w:val="28"/>
        </w:rPr>
        <w:t xml:space="preserve">  </w:t>
      </w:r>
    </w:p>
    <w:p w:rsidR="00AE667E" w:rsidRPr="00E44D21" w:rsidRDefault="00D41AE8" w:rsidP="00E44D21">
      <w:pPr>
        <w:ind w:firstLine="709"/>
        <w:jc w:val="both"/>
        <w:rPr>
          <w:sz w:val="28"/>
          <w:szCs w:val="28"/>
        </w:rPr>
      </w:pPr>
      <w:r w:rsidRPr="00E44D21">
        <w:rPr>
          <w:sz w:val="28"/>
          <w:szCs w:val="28"/>
        </w:rPr>
        <w:t>Р</w:t>
      </w:r>
      <w:r w:rsidR="00AE667E" w:rsidRPr="00E44D21">
        <w:rPr>
          <w:sz w:val="28"/>
          <w:szCs w:val="28"/>
        </w:rPr>
        <w:t xml:space="preserve">еспубликанский бюджет  </w:t>
      </w:r>
      <w:r w:rsidRPr="00E44D21">
        <w:rPr>
          <w:sz w:val="28"/>
          <w:szCs w:val="28"/>
        </w:rPr>
        <w:t xml:space="preserve">первоначально </w:t>
      </w:r>
      <w:r w:rsidR="00AE667E" w:rsidRPr="00E44D21">
        <w:rPr>
          <w:sz w:val="28"/>
          <w:szCs w:val="28"/>
        </w:rPr>
        <w:t>на 2014 год  планировался с дефицитом 319,8 миллионов рублей</w:t>
      </w:r>
      <w:r w:rsidR="004F794C" w:rsidRPr="00E44D21">
        <w:rPr>
          <w:sz w:val="28"/>
          <w:szCs w:val="28"/>
        </w:rPr>
        <w:t>,</w:t>
      </w:r>
      <w:r w:rsidR="00AE667E" w:rsidRPr="00E44D21">
        <w:rPr>
          <w:sz w:val="28"/>
          <w:szCs w:val="28"/>
        </w:rPr>
        <w:t xml:space="preserve">  с объемом доходов  12</w:t>
      </w:r>
      <w:r w:rsidR="00E44D21">
        <w:rPr>
          <w:sz w:val="28"/>
          <w:szCs w:val="28"/>
        </w:rPr>
        <w:t xml:space="preserve"> миллиардов </w:t>
      </w:r>
      <w:r w:rsidR="00AE667E" w:rsidRPr="00E44D21">
        <w:rPr>
          <w:sz w:val="28"/>
          <w:szCs w:val="28"/>
        </w:rPr>
        <w:t xml:space="preserve">107,6 </w:t>
      </w:r>
      <w:r w:rsidR="00E44D21">
        <w:rPr>
          <w:sz w:val="28"/>
          <w:szCs w:val="28"/>
        </w:rPr>
        <w:t>миллионов рублей,</w:t>
      </w:r>
      <w:r w:rsidR="00AE667E" w:rsidRPr="00E44D21">
        <w:rPr>
          <w:sz w:val="28"/>
          <w:szCs w:val="28"/>
        </w:rPr>
        <w:t xml:space="preserve"> из которых   налоговы</w:t>
      </w:r>
      <w:r w:rsidR="004F794C" w:rsidRPr="00E44D21">
        <w:rPr>
          <w:sz w:val="28"/>
          <w:szCs w:val="28"/>
        </w:rPr>
        <w:t>е</w:t>
      </w:r>
      <w:r w:rsidR="00AE667E" w:rsidRPr="00E44D21">
        <w:rPr>
          <w:sz w:val="28"/>
          <w:szCs w:val="28"/>
        </w:rPr>
        <w:t xml:space="preserve"> и неналоговы</w:t>
      </w:r>
      <w:r w:rsidR="004F794C" w:rsidRPr="00E44D21">
        <w:rPr>
          <w:sz w:val="28"/>
          <w:szCs w:val="28"/>
        </w:rPr>
        <w:t>е</w:t>
      </w:r>
      <w:r w:rsidR="00AE667E" w:rsidRPr="00E44D21">
        <w:rPr>
          <w:sz w:val="28"/>
          <w:szCs w:val="28"/>
        </w:rPr>
        <w:t xml:space="preserve"> </w:t>
      </w:r>
      <w:r w:rsidRPr="00E44D21">
        <w:rPr>
          <w:sz w:val="28"/>
          <w:szCs w:val="28"/>
        </w:rPr>
        <w:t xml:space="preserve">поступления </w:t>
      </w:r>
      <w:r w:rsidR="00E44D21">
        <w:rPr>
          <w:sz w:val="28"/>
          <w:szCs w:val="28"/>
        </w:rPr>
        <w:t>–</w:t>
      </w:r>
      <w:r w:rsidR="00AE667E" w:rsidRPr="00E44D21">
        <w:rPr>
          <w:sz w:val="28"/>
          <w:szCs w:val="28"/>
        </w:rPr>
        <w:t xml:space="preserve"> 6</w:t>
      </w:r>
      <w:r w:rsidR="00E44D21">
        <w:rPr>
          <w:sz w:val="28"/>
          <w:szCs w:val="28"/>
        </w:rPr>
        <w:t xml:space="preserve"> миллиардов </w:t>
      </w:r>
      <w:r w:rsidR="00AE667E" w:rsidRPr="00E44D21">
        <w:rPr>
          <w:sz w:val="28"/>
          <w:szCs w:val="28"/>
        </w:rPr>
        <w:t xml:space="preserve">957,2 </w:t>
      </w:r>
      <w:r w:rsidR="00E44D21">
        <w:rPr>
          <w:sz w:val="28"/>
          <w:szCs w:val="28"/>
        </w:rPr>
        <w:t>миллионов</w:t>
      </w:r>
      <w:r w:rsidR="00AE667E" w:rsidRPr="00E44D21">
        <w:rPr>
          <w:sz w:val="28"/>
          <w:szCs w:val="28"/>
        </w:rPr>
        <w:t xml:space="preserve"> рублей, средств</w:t>
      </w:r>
      <w:r w:rsidRPr="00E44D21">
        <w:rPr>
          <w:sz w:val="28"/>
          <w:szCs w:val="28"/>
        </w:rPr>
        <w:t>а</w:t>
      </w:r>
      <w:r w:rsidR="00AE667E" w:rsidRPr="00E44D21">
        <w:rPr>
          <w:sz w:val="28"/>
          <w:szCs w:val="28"/>
        </w:rPr>
        <w:t xml:space="preserve"> федерального бюджета </w:t>
      </w:r>
      <w:r w:rsidR="00E44D21">
        <w:rPr>
          <w:sz w:val="28"/>
          <w:szCs w:val="28"/>
        </w:rPr>
        <w:t>–</w:t>
      </w:r>
      <w:r w:rsidR="00AE667E" w:rsidRPr="00E44D21">
        <w:rPr>
          <w:sz w:val="28"/>
          <w:szCs w:val="28"/>
        </w:rPr>
        <w:t xml:space="preserve"> 5</w:t>
      </w:r>
      <w:r w:rsidR="00E44D21">
        <w:rPr>
          <w:sz w:val="28"/>
          <w:szCs w:val="28"/>
        </w:rPr>
        <w:t xml:space="preserve"> миллиардов </w:t>
      </w:r>
      <w:r w:rsidR="00AE667E" w:rsidRPr="00E44D21">
        <w:rPr>
          <w:sz w:val="28"/>
          <w:szCs w:val="28"/>
        </w:rPr>
        <w:t xml:space="preserve">150,4 </w:t>
      </w:r>
      <w:r w:rsidR="00E44D21">
        <w:rPr>
          <w:sz w:val="28"/>
          <w:szCs w:val="28"/>
        </w:rPr>
        <w:t>миллионов</w:t>
      </w:r>
      <w:r w:rsidR="00AE667E" w:rsidRPr="00E44D21">
        <w:rPr>
          <w:sz w:val="28"/>
          <w:szCs w:val="28"/>
        </w:rPr>
        <w:t xml:space="preserve"> рублей</w:t>
      </w:r>
      <w:r w:rsidRPr="00E44D21">
        <w:rPr>
          <w:sz w:val="28"/>
          <w:szCs w:val="28"/>
        </w:rPr>
        <w:t xml:space="preserve">, и объемом </w:t>
      </w:r>
      <w:r w:rsidR="00AE667E" w:rsidRPr="00E44D21">
        <w:rPr>
          <w:sz w:val="28"/>
          <w:szCs w:val="28"/>
        </w:rPr>
        <w:t xml:space="preserve"> расходов </w:t>
      </w:r>
      <w:r w:rsidR="00E44D21">
        <w:rPr>
          <w:sz w:val="28"/>
          <w:szCs w:val="28"/>
        </w:rPr>
        <w:t>–</w:t>
      </w:r>
      <w:r w:rsidR="00AE667E" w:rsidRPr="00E44D21">
        <w:rPr>
          <w:sz w:val="28"/>
          <w:szCs w:val="28"/>
        </w:rPr>
        <w:t xml:space="preserve"> 12</w:t>
      </w:r>
      <w:r w:rsidR="00E44D21">
        <w:rPr>
          <w:sz w:val="28"/>
          <w:szCs w:val="28"/>
        </w:rPr>
        <w:t xml:space="preserve"> миллиардов </w:t>
      </w:r>
      <w:r w:rsidR="00AE667E" w:rsidRPr="00E44D21">
        <w:rPr>
          <w:sz w:val="28"/>
          <w:szCs w:val="28"/>
        </w:rPr>
        <w:t xml:space="preserve">427,4 </w:t>
      </w:r>
      <w:r w:rsidR="00E44D21">
        <w:rPr>
          <w:sz w:val="28"/>
          <w:szCs w:val="28"/>
        </w:rPr>
        <w:t>миллионов</w:t>
      </w:r>
      <w:r w:rsidR="00AE667E" w:rsidRPr="00E44D21">
        <w:rPr>
          <w:sz w:val="28"/>
          <w:szCs w:val="28"/>
        </w:rPr>
        <w:t xml:space="preserve"> рублей. </w:t>
      </w:r>
    </w:p>
    <w:p w:rsidR="00D41AE8" w:rsidRPr="00E44D21" w:rsidRDefault="00D41AE8" w:rsidP="00E44D21">
      <w:pPr>
        <w:ind w:firstLine="709"/>
        <w:jc w:val="both"/>
        <w:rPr>
          <w:spacing w:val="-4"/>
          <w:sz w:val="28"/>
          <w:szCs w:val="28"/>
        </w:rPr>
      </w:pPr>
      <w:r w:rsidRPr="00E44D21">
        <w:rPr>
          <w:sz w:val="28"/>
          <w:szCs w:val="28"/>
        </w:rPr>
        <w:t>В процессе исполнения республикан</w:t>
      </w:r>
      <w:r w:rsidR="004F794C" w:rsidRPr="00E44D21">
        <w:rPr>
          <w:sz w:val="28"/>
          <w:szCs w:val="28"/>
        </w:rPr>
        <w:t>с</w:t>
      </w:r>
      <w:r w:rsidRPr="00E44D21">
        <w:rPr>
          <w:sz w:val="28"/>
          <w:szCs w:val="28"/>
        </w:rPr>
        <w:t xml:space="preserve">кого бюджета </w:t>
      </w:r>
      <w:r w:rsidR="004F794C" w:rsidRPr="00E44D21">
        <w:rPr>
          <w:sz w:val="28"/>
          <w:szCs w:val="28"/>
        </w:rPr>
        <w:t>п</w:t>
      </w:r>
      <w:r w:rsidRPr="00E44D21">
        <w:rPr>
          <w:sz w:val="28"/>
          <w:szCs w:val="28"/>
        </w:rPr>
        <w:t>лан по безвозмездным перечислениям был увеличен на размер дополнительно поступившей из федерального бюджета дотации на сбалансированность бюджета и целевых средств на общую сумму 1</w:t>
      </w:r>
      <w:r w:rsidR="00E44D21">
        <w:rPr>
          <w:sz w:val="28"/>
          <w:szCs w:val="28"/>
        </w:rPr>
        <w:t xml:space="preserve"> миллиард </w:t>
      </w:r>
      <w:r w:rsidRPr="00E44D21">
        <w:rPr>
          <w:sz w:val="28"/>
          <w:szCs w:val="28"/>
        </w:rPr>
        <w:t xml:space="preserve">738,3 </w:t>
      </w:r>
      <w:r w:rsidR="00E44D21">
        <w:rPr>
          <w:sz w:val="28"/>
          <w:szCs w:val="28"/>
        </w:rPr>
        <w:t>миллионов</w:t>
      </w:r>
      <w:r w:rsidRPr="00E44D21">
        <w:rPr>
          <w:sz w:val="28"/>
          <w:szCs w:val="28"/>
        </w:rPr>
        <w:t xml:space="preserve"> рублей. Соответственно целевым поступлениям были изменены расходные обязательства. Также были увеличены расходы на сумму остатков средств на счете республиканского бюджета на 1 января 2014 года, использованных в </w:t>
      </w:r>
      <w:r w:rsidRPr="00E44D21">
        <w:rPr>
          <w:sz w:val="28"/>
          <w:szCs w:val="28"/>
        </w:rPr>
        <w:lastRenderedPageBreak/>
        <w:t>2014 году. Всего увеличение по расходам произведено на сумму 2</w:t>
      </w:r>
      <w:r w:rsidR="00E44D21">
        <w:rPr>
          <w:sz w:val="28"/>
          <w:szCs w:val="28"/>
        </w:rPr>
        <w:t xml:space="preserve"> миллиарда </w:t>
      </w:r>
      <w:r w:rsidRPr="00E44D21">
        <w:rPr>
          <w:sz w:val="28"/>
          <w:szCs w:val="28"/>
        </w:rPr>
        <w:t xml:space="preserve">415,0 </w:t>
      </w:r>
      <w:r w:rsidR="00E44D21">
        <w:rPr>
          <w:sz w:val="28"/>
          <w:szCs w:val="28"/>
        </w:rPr>
        <w:t>миллионов</w:t>
      </w:r>
      <w:r w:rsidRPr="00E44D21">
        <w:rPr>
          <w:sz w:val="28"/>
          <w:szCs w:val="28"/>
        </w:rPr>
        <w:t xml:space="preserve"> рублей. Прогнозируемый общий объем поступлений налоговых и неналоговых доходов республиканского бюджета по сравнению с первоначальным размером уменьшился на 218,7 </w:t>
      </w:r>
      <w:r w:rsidR="00E44D21">
        <w:rPr>
          <w:sz w:val="28"/>
          <w:szCs w:val="28"/>
        </w:rPr>
        <w:t>миллионов</w:t>
      </w:r>
      <w:r w:rsidRPr="00E44D21">
        <w:rPr>
          <w:sz w:val="28"/>
          <w:szCs w:val="28"/>
        </w:rPr>
        <w:t xml:space="preserve"> рублей.</w:t>
      </w:r>
      <w:r w:rsidR="004F794C" w:rsidRPr="00E44D21">
        <w:rPr>
          <w:sz w:val="28"/>
          <w:szCs w:val="28"/>
        </w:rPr>
        <w:t xml:space="preserve"> </w:t>
      </w:r>
      <w:r w:rsidRPr="00E44D21">
        <w:rPr>
          <w:spacing w:val="-4"/>
          <w:sz w:val="28"/>
          <w:szCs w:val="28"/>
        </w:rPr>
        <w:t>В результате всех произведенных уточнений плановый дефицит составил 1</w:t>
      </w:r>
      <w:r w:rsidR="00E44D21">
        <w:rPr>
          <w:spacing w:val="-4"/>
          <w:sz w:val="28"/>
          <w:szCs w:val="28"/>
        </w:rPr>
        <w:t xml:space="preserve"> миллиард </w:t>
      </w:r>
      <w:r w:rsidRPr="00E44D21">
        <w:rPr>
          <w:spacing w:val="-4"/>
          <w:sz w:val="28"/>
          <w:szCs w:val="28"/>
        </w:rPr>
        <w:t xml:space="preserve">215,2 </w:t>
      </w:r>
      <w:r w:rsidR="00E44D21">
        <w:rPr>
          <w:spacing w:val="-4"/>
          <w:sz w:val="28"/>
          <w:szCs w:val="28"/>
        </w:rPr>
        <w:t>миллионов</w:t>
      </w:r>
      <w:r w:rsidRPr="00E44D21">
        <w:rPr>
          <w:spacing w:val="-4"/>
          <w:sz w:val="28"/>
          <w:szCs w:val="28"/>
        </w:rPr>
        <w:t xml:space="preserve"> рублей. </w:t>
      </w:r>
    </w:p>
    <w:p w:rsidR="00D41AE8" w:rsidRPr="00E44D21" w:rsidRDefault="00D41AE8" w:rsidP="00E44D21">
      <w:pPr>
        <w:ind w:firstLine="709"/>
        <w:jc w:val="both"/>
        <w:rPr>
          <w:spacing w:val="-4"/>
          <w:sz w:val="28"/>
          <w:szCs w:val="28"/>
        </w:rPr>
      </w:pPr>
      <w:r w:rsidRPr="00E44D21">
        <w:rPr>
          <w:spacing w:val="-4"/>
          <w:sz w:val="28"/>
          <w:szCs w:val="28"/>
        </w:rPr>
        <w:t xml:space="preserve"> </w:t>
      </w:r>
      <w:r w:rsidR="00AE667E" w:rsidRPr="00E44D21">
        <w:rPr>
          <w:sz w:val="28"/>
          <w:szCs w:val="28"/>
        </w:rPr>
        <w:t xml:space="preserve">Итогом исполнения </w:t>
      </w:r>
      <w:r w:rsidRPr="00E44D21">
        <w:rPr>
          <w:sz w:val="28"/>
          <w:szCs w:val="28"/>
        </w:rPr>
        <w:t xml:space="preserve">республиканского бюджета </w:t>
      </w:r>
      <w:r w:rsidR="00AE667E" w:rsidRPr="00E44D21">
        <w:rPr>
          <w:sz w:val="28"/>
          <w:szCs w:val="28"/>
        </w:rPr>
        <w:t xml:space="preserve">стал дефицит </w:t>
      </w:r>
      <w:r w:rsidR="00AE667E" w:rsidRPr="00E44D21">
        <w:rPr>
          <w:spacing w:val="-4"/>
          <w:sz w:val="28"/>
          <w:szCs w:val="28"/>
        </w:rPr>
        <w:t xml:space="preserve">в сумме 646,4 </w:t>
      </w:r>
      <w:r w:rsidR="00E44D21">
        <w:rPr>
          <w:spacing w:val="-4"/>
          <w:sz w:val="28"/>
          <w:szCs w:val="28"/>
        </w:rPr>
        <w:t>миллионов</w:t>
      </w:r>
      <w:r w:rsidR="00AE667E" w:rsidRPr="00E44D21">
        <w:rPr>
          <w:spacing w:val="-4"/>
          <w:sz w:val="28"/>
          <w:szCs w:val="28"/>
        </w:rPr>
        <w:t xml:space="preserve"> рублей</w:t>
      </w:r>
      <w:r w:rsidRPr="00E44D21">
        <w:rPr>
          <w:spacing w:val="-4"/>
          <w:sz w:val="28"/>
          <w:szCs w:val="28"/>
        </w:rPr>
        <w:t xml:space="preserve"> (по итогам исполнения за 2013 год дефицит составлял 133,1 </w:t>
      </w:r>
      <w:r w:rsidR="00E44D21">
        <w:rPr>
          <w:spacing w:val="-4"/>
          <w:sz w:val="28"/>
          <w:szCs w:val="28"/>
        </w:rPr>
        <w:t>миллиона</w:t>
      </w:r>
      <w:r w:rsidRPr="00E44D21">
        <w:rPr>
          <w:spacing w:val="-4"/>
          <w:sz w:val="28"/>
          <w:szCs w:val="28"/>
        </w:rPr>
        <w:t xml:space="preserve"> рублей). </w:t>
      </w:r>
      <w:r w:rsidR="00AE667E" w:rsidRPr="00E44D21">
        <w:rPr>
          <w:spacing w:val="-4"/>
          <w:sz w:val="28"/>
          <w:szCs w:val="28"/>
        </w:rPr>
        <w:t xml:space="preserve"> </w:t>
      </w:r>
    </w:p>
    <w:p w:rsidR="00D60364" w:rsidRPr="00E44D21" w:rsidRDefault="00D41AE8" w:rsidP="00E44D21">
      <w:pPr>
        <w:pStyle w:val="a3"/>
        <w:ind w:firstLine="709"/>
        <w:rPr>
          <w:rFonts w:eastAsiaTheme="minorHAnsi"/>
          <w:bCs/>
          <w:szCs w:val="28"/>
          <w:lang w:eastAsia="en-US"/>
        </w:rPr>
      </w:pPr>
      <w:r w:rsidRPr="00E44D21">
        <w:rPr>
          <w:szCs w:val="28"/>
        </w:rPr>
        <w:t>Общие доходы республиканского бюджета превысили показатели 201</w:t>
      </w:r>
      <w:r w:rsidR="00D60364" w:rsidRPr="00E44D21">
        <w:rPr>
          <w:szCs w:val="28"/>
        </w:rPr>
        <w:t>3</w:t>
      </w:r>
      <w:r w:rsidRPr="00E44D21">
        <w:rPr>
          <w:szCs w:val="28"/>
        </w:rPr>
        <w:t xml:space="preserve"> года на </w:t>
      </w:r>
      <w:r w:rsidR="00D60364" w:rsidRPr="00E44D21">
        <w:rPr>
          <w:szCs w:val="28"/>
        </w:rPr>
        <w:t>4,8</w:t>
      </w:r>
      <w:r w:rsidRPr="00E44D21">
        <w:rPr>
          <w:szCs w:val="28"/>
        </w:rPr>
        <w:t xml:space="preserve"> </w:t>
      </w:r>
      <w:r w:rsidR="00E44D21">
        <w:rPr>
          <w:szCs w:val="28"/>
        </w:rPr>
        <w:t>миллиона</w:t>
      </w:r>
      <w:r w:rsidRPr="00E44D21">
        <w:rPr>
          <w:szCs w:val="28"/>
        </w:rPr>
        <w:t xml:space="preserve"> рублей и составили по итогам прошлого года </w:t>
      </w:r>
      <w:r w:rsidR="00AE667E" w:rsidRPr="00E44D21">
        <w:rPr>
          <w:spacing w:val="-4"/>
          <w:szCs w:val="28"/>
        </w:rPr>
        <w:t xml:space="preserve"> 13</w:t>
      </w:r>
      <w:r w:rsidR="00E44D21">
        <w:rPr>
          <w:spacing w:val="-4"/>
          <w:szCs w:val="28"/>
        </w:rPr>
        <w:t xml:space="preserve"> миллиарда </w:t>
      </w:r>
      <w:r w:rsidR="00AE667E" w:rsidRPr="00E44D21">
        <w:rPr>
          <w:spacing w:val="-4"/>
          <w:szCs w:val="28"/>
        </w:rPr>
        <w:t xml:space="preserve">512,5 </w:t>
      </w:r>
      <w:r w:rsidR="00E44D21">
        <w:rPr>
          <w:spacing w:val="-4"/>
          <w:szCs w:val="28"/>
        </w:rPr>
        <w:t>миллионов</w:t>
      </w:r>
      <w:r w:rsidR="00AE667E" w:rsidRPr="00E44D21">
        <w:rPr>
          <w:spacing w:val="-4"/>
          <w:szCs w:val="28"/>
        </w:rPr>
        <w:t xml:space="preserve"> рублей или 99,2 процентов к уточненному плану.</w:t>
      </w:r>
      <w:r w:rsidR="00A04901" w:rsidRPr="00E44D21">
        <w:rPr>
          <w:rFonts w:eastAsiaTheme="minorHAnsi"/>
          <w:bCs/>
          <w:szCs w:val="28"/>
          <w:lang w:eastAsia="en-US"/>
        </w:rPr>
        <w:t xml:space="preserve"> </w:t>
      </w:r>
    </w:p>
    <w:p w:rsidR="00D60364" w:rsidRPr="00E44D21" w:rsidRDefault="00D60364" w:rsidP="00E44D21">
      <w:pPr>
        <w:pStyle w:val="a3"/>
        <w:ind w:firstLine="709"/>
        <w:rPr>
          <w:rFonts w:eastAsiaTheme="minorHAnsi"/>
          <w:bCs/>
          <w:szCs w:val="28"/>
          <w:lang w:eastAsia="en-US"/>
        </w:rPr>
      </w:pPr>
      <w:r w:rsidRPr="00E44D21">
        <w:rPr>
          <w:szCs w:val="28"/>
        </w:rPr>
        <w:t xml:space="preserve">Расходная часть республиканского бюджета составила </w:t>
      </w:r>
      <w:r w:rsidRPr="00E44D21">
        <w:rPr>
          <w:spacing w:val="-4"/>
          <w:szCs w:val="28"/>
        </w:rPr>
        <w:t>14</w:t>
      </w:r>
      <w:r w:rsidR="00E44D21">
        <w:rPr>
          <w:spacing w:val="-4"/>
          <w:szCs w:val="28"/>
        </w:rPr>
        <w:t xml:space="preserve"> миллиарда </w:t>
      </w:r>
      <w:r w:rsidRPr="00E44D21">
        <w:rPr>
          <w:spacing w:val="-4"/>
          <w:szCs w:val="28"/>
        </w:rPr>
        <w:t>158,8</w:t>
      </w:r>
      <w:r w:rsidR="00E44D21">
        <w:rPr>
          <w:spacing w:val="-4"/>
          <w:szCs w:val="28"/>
        </w:rPr>
        <w:t xml:space="preserve"> миллионов</w:t>
      </w:r>
      <w:r w:rsidRPr="00E44D21">
        <w:rPr>
          <w:szCs w:val="28"/>
        </w:rPr>
        <w:t xml:space="preserve"> рублей, что  на  518,1 </w:t>
      </w:r>
      <w:r w:rsidR="00E44D21">
        <w:rPr>
          <w:szCs w:val="28"/>
        </w:rPr>
        <w:t>миллионов</w:t>
      </w:r>
      <w:r w:rsidRPr="00E44D21">
        <w:rPr>
          <w:szCs w:val="28"/>
        </w:rPr>
        <w:t xml:space="preserve"> рублей выше уровня расходов 2013 года.  Как и в прошлые годы,  бюджет сохранил свою социальную направленность.</w:t>
      </w:r>
    </w:p>
    <w:p w:rsidR="00014A00" w:rsidRPr="00E44D21" w:rsidRDefault="00D60364" w:rsidP="00E44D21">
      <w:pPr>
        <w:pStyle w:val="a3"/>
        <w:ind w:firstLine="709"/>
        <w:rPr>
          <w:szCs w:val="28"/>
        </w:rPr>
      </w:pPr>
      <w:r w:rsidRPr="00E44D21">
        <w:rPr>
          <w:szCs w:val="28"/>
        </w:rPr>
        <w:t xml:space="preserve">Уменьшение поступления трансфертов из федерального бюджета повлияло и на  уровень </w:t>
      </w:r>
      <w:proofErr w:type="spellStart"/>
      <w:r w:rsidRPr="00E44D21">
        <w:rPr>
          <w:szCs w:val="28"/>
        </w:rPr>
        <w:t>дотационности</w:t>
      </w:r>
      <w:proofErr w:type="spellEnd"/>
      <w:r w:rsidR="00545332" w:rsidRPr="00E44D21">
        <w:rPr>
          <w:szCs w:val="28"/>
        </w:rPr>
        <w:t>,</w:t>
      </w:r>
      <w:r w:rsidRPr="00E44D21">
        <w:rPr>
          <w:szCs w:val="28"/>
        </w:rPr>
        <w:t xml:space="preserve"> который составил за 2014 год – 38,9 процентов.  </w:t>
      </w:r>
    </w:p>
    <w:p w:rsidR="00D60364" w:rsidRPr="00E44D21" w:rsidRDefault="00D60364" w:rsidP="00E44D21">
      <w:pPr>
        <w:pStyle w:val="a3"/>
        <w:ind w:firstLine="709"/>
        <w:rPr>
          <w:szCs w:val="28"/>
        </w:rPr>
      </w:pPr>
      <w:r w:rsidRPr="00E44D21">
        <w:rPr>
          <w:szCs w:val="28"/>
        </w:rPr>
        <w:t xml:space="preserve">В 2014 году нам не </w:t>
      </w:r>
      <w:r w:rsidR="00014A00" w:rsidRPr="00E44D21">
        <w:rPr>
          <w:szCs w:val="28"/>
        </w:rPr>
        <w:t xml:space="preserve">удалось </w:t>
      </w:r>
      <w:r w:rsidRPr="00E44D21">
        <w:rPr>
          <w:szCs w:val="28"/>
        </w:rPr>
        <w:t>снизить</w:t>
      </w:r>
      <w:r w:rsidR="00014A00" w:rsidRPr="00E44D21">
        <w:rPr>
          <w:szCs w:val="28"/>
        </w:rPr>
        <w:t xml:space="preserve"> уровень государственного долга по сравнению с 201</w:t>
      </w:r>
      <w:r w:rsidRPr="00E44D21">
        <w:rPr>
          <w:szCs w:val="28"/>
        </w:rPr>
        <w:t>3</w:t>
      </w:r>
      <w:r w:rsidR="00014A00" w:rsidRPr="00E44D21">
        <w:rPr>
          <w:szCs w:val="28"/>
        </w:rPr>
        <w:t xml:space="preserve"> годом</w:t>
      </w:r>
      <w:r w:rsidRPr="00E44D21">
        <w:rPr>
          <w:szCs w:val="28"/>
        </w:rPr>
        <w:t xml:space="preserve">. </w:t>
      </w:r>
      <w:proofErr w:type="gramStart"/>
      <w:r w:rsidRPr="00E44D21">
        <w:rPr>
          <w:szCs w:val="28"/>
        </w:rPr>
        <w:t>Если на  1 января 2014 года объем государственного долга составлял 1</w:t>
      </w:r>
      <w:r w:rsidR="00E44D21">
        <w:rPr>
          <w:szCs w:val="28"/>
        </w:rPr>
        <w:t xml:space="preserve"> миллиард </w:t>
      </w:r>
      <w:r w:rsidRPr="00E44D21">
        <w:rPr>
          <w:szCs w:val="28"/>
        </w:rPr>
        <w:t xml:space="preserve">941,3 </w:t>
      </w:r>
      <w:r w:rsidR="00E44D21">
        <w:rPr>
          <w:szCs w:val="28"/>
        </w:rPr>
        <w:t>миллиона</w:t>
      </w:r>
      <w:r w:rsidRPr="00E44D21">
        <w:rPr>
          <w:szCs w:val="28"/>
        </w:rPr>
        <w:t xml:space="preserve"> рублей, где доля кредитов кредитны</w:t>
      </w:r>
      <w:r w:rsidR="00545332" w:rsidRPr="00E44D21">
        <w:rPr>
          <w:szCs w:val="28"/>
        </w:rPr>
        <w:t>х</w:t>
      </w:r>
      <w:r w:rsidRPr="00E44D21">
        <w:rPr>
          <w:szCs w:val="28"/>
        </w:rPr>
        <w:t xml:space="preserve"> организаций составляла </w:t>
      </w:r>
      <w:r w:rsidR="00FB2CC0" w:rsidRPr="00E44D21">
        <w:rPr>
          <w:szCs w:val="28"/>
        </w:rPr>
        <w:t>чуть более половины (51,5 процент</w:t>
      </w:r>
      <w:r w:rsidR="00E44D21">
        <w:rPr>
          <w:szCs w:val="28"/>
        </w:rPr>
        <w:t>а</w:t>
      </w:r>
      <w:r w:rsidR="00FB2CC0" w:rsidRPr="00E44D21">
        <w:rPr>
          <w:szCs w:val="28"/>
        </w:rPr>
        <w:t>), то  в течение 2014 года объем государственного долга  увеличился на 980,9 м</w:t>
      </w:r>
      <w:r w:rsidR="00E44D21">
        <w:rPr>
          <w:szCs w:val="28"/>
        </w:rPr>
        <w:t>иллионов</w:t>
      </w:r>
      <w:r w:rsidR="00FB2CC0" w:rsidRPr="00E44D21">
        <w:rPr>
          <w:szCs w:val="28"/>
        </w:rPr>
        <w:t xml:space="preserve"> рублей и составил на 1 января 2015 года 2</w:t>
      </w:r>
      <w:r w:rsidR="00E44D21">
        <w:rPr>
          <w:szCs w:val="28"/>
        </w:rPr>
        <w:t xml:space="preserve"> миллиарда </w:t>
      </w:r>
      <w:r w:rsidR="00FB2CC0" w:rsidRPr="00E44D21">
        <w:rPr>
          <w:szCs w:val="28"/>
        </w:rPr>
        <w:t>922,2 м</w:t>
      </w:r>
      <w:r w:rsidR="00E44D21">
        <w:rPr>
          <w:szCs w:val="28"/>
        </w:rPr>
        <w:t>иллионов</w:t>
      </w:r>
      <w:r w:rsidR="00FB2CC0" w:rsidRPr="00E44D21">
        <w:rPr>
          <w:szCs w:val="28"/>
        </w:rPr>
        <w:t xml:space="preserve"> рублей, в том числе бюджетные кредиты из федерального бюджета – 1</w:t>
      </w:r>
      <w:proofErr w:type="gramEnd"/>
      <w:r w:rsidR="00E44D21">
        <w:rPr>
          <w:szCs w:val="28"/>
        </w:rPr>
        <w:t xml:space="preserve"> миллиард </w:t>
      </w:r>
      <w:r w:rsidR="00FB2CC0" w:rsidRPr="00E44D21">
        <w:rPr>
          <w:szCs w:val="28"/>
        </w:rPr>
        <w:t xml:space="preserve">422,2 </w:t>
      </w:r>
      <w:r w:rsidR="00E44D21">
        <w:rPr>
          <w:szCs w:val="28"/>
        </w:rPr>
        <w:t>миллиона</w:t>
      </w:r>
      <w:r w:rsidR="00FB2CC0" w:rsidRPr="00E44D21">
        <w:rPr>
          <w:szCs w:val="28"/>
        </w:rPr>
        <w:t xml:space="preserve"> рублей, кредиты кредитных организаций – </w:t>
      </w:r>
      <w:r w:rsidR="001A348D">
        <w:rPr>
          <w:szCs w:val="28"/>
        </w:rPr>
        <w:t>полтора миллиарда</w:t>
      </w:r>
      <w:r w:rsidR="00FB2CC0" w:rsidRPr="00E44D21">
        <w:rPr>
          <w:szCs w:val="28"/>
        </w:rPr>
        <w:t xml:space="preserve"> рублей.</w:t>
      </w:r>
    </w:p>
    <w:p w:rsidR="00D60364" w:rsidRDefault="00FB2CC0" w:rsidP="00E44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госдолга повлекло рост р</w:t>
      </w:r>
      <w:r w:rsidR="00D60364">
        <w:rPr>
          <w:sz w:val="28"/>
          <w:szCs w:val="28"/>
        </w:rPr>
        <w:t>асход</w:t>
      </w:r>
      <w:r>
        <w:rPr>
          <w:sz w:val="28"/>
          <w:szCs w:val="28"/>
        </w:rPr>
        <w:t>ов</w:t>
      </w:r>
      <w:r w:rsidR="00D6036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его</w:t>
      </w:r>
      <w:r w:rsidR="00D60364">
        <w:rPr>
          <w:sz w:val="28"/>
          <w:szCs w:val="28"/>
        </w:rPr>
        <w:t xml:space="preserve"> обслуживание </w:t>
      </w:r>
      <w:r>
        <w:rPr>
          <w:sz w:val="28"/>
          <w:szCs w:val="28"/>
        </w:rPr>
        <w:t xml:space="preserve">и </w:t>
      </w:r>
      <w:r w:rsidR="00D60364">
        <w:rPr>
          <w:sz w:val="28"/>
          <w:szCs w:val="28"/>
        </w:rPr>
        <w:t>составил</w:t>
      </w:r>
      <w:r>
        <w:rPr>
          <w:sz w:val="28"/>
          <w:szCs w:val="28"/>
        </w:rPr>
        <w:t>о</w:t>
      </w:r>
      <w:r w:rsidR="00D60364">
        <w:rPr>
          <w:sz w:val="28"/>
          <w:szCs w:val="28"/>
        </w:rPr>
        <w:t xml:space="preserve"> 120</w:t>
      </w:r>
      <w:r>
        <w:rPr>
          <w:sz w:val="28"/>
          <w:szCs w:val="28"/>
        </w:rPr>
        <w:t>,</w:t>
      </w:r>
      <w:r w:rsidR="00D6036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1A348D">
        <w:rPr>
          <w:sz w:val="28"/>
          <w:szCs w:val="28"/>
        </w:rPr>
        <w:t>миллионов</w:t>
      </w:r>
      <w:r w:rsidR="00D6036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(в 2013 году аналогичные расходы составляли 49,7 </w:t>
      </w:r>
      <w:r w:rsidR="001A348D">
        <w:rPr>
          <w:sz w:val="28"/>
          <w:szCs w:val="28"/>
        </w:rPr>
        <w:t>миллионов</w:t>
      </w:r>
      <w:r>
        <w:rPr>
          <w:sz w:val="28"/>
          <w:szCs w:val="28"/>
        </w:rPr>
        <w:t xml:space="preserve"> рублей)</w:t>
      </w:r>
      <w:r w:rsidR="00D60364">
        <w:rPr>
          <w:sz w:val="28"/>
          <w:szCs w:val="28"/>
        </w:rPr>
        <w:t>.</w:t>
      </w:r>
    </w:p>
    <w:p w:rsidR="00FB2CC0" w:rsidRDefault="00FB2CC0" w:rsidP="00E44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Долговая нагрузка также возросла по сравнению с 2013 годом с 33,3</w:t>
      </w:r>
      <w:r w:rsidR="001A348D"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 xml:space="preserve"> в 2013 году до 43,6</w:t>
      </w:r>
      <w:r w:rsidR="001A348D"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 xml:space="preserve"> по итогам исполнения за 2014 год.</w:t>
      </w:r>
    </w:p>
    <w:p w:rsidR="00551EC5" w:rsidRDefault="00551EC5" w:rsidP="00E44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Исполнены социально-значимые обязательства бюджета Республики Адыгея по следующим направлениям:</w:t>
      </w:r>
    </w:p>
    <w:p w:rsidR="002A5DEA" w:rsidRDefault="002A5DEA" w:rsidP="00551EC5">
      <w:pPr>
        <w:ind w:firstLine="720"/>
        <w:jc w:val="right"/>
      </w:pPr>
    </w:p>
    <w:p w:rsidR="00551EC5" w:rsidRPr="006E0213" w:rsidRDefault="00551EC5" w:rsidP="00551EC5">
      <w:pPr>
        <w:ind w:firstLine="720"/>
        <w:jc w:val="right"/>
      </w:pPr>
      <w:r w:rsidRPr="006E0213">
        <w:t>(в млн. рублей)</w:t>
      </w:r>
    </w:p>
    <w:tbl>
      <w:tblPr>
        <w:tblW w:w="0" w:type="auto"/>
        <w:tblLook w:val="01E0"/>
      </w:tblPr>
      <w:tblGrid>
        <w:gridCol w:w="4608"/>
        <w:gridCol w:w="2498"/>
        <w:gridCol w:w="2340"/>
      </w:tblGrid>
      <w:tr w:rsidR="00551EC5" w:rsidRPr="004450D6" w:rsidTr="00615B28">
        <w:tc>
          <w:tcPr>
            <w:tcW w:w="4608" w:type="dxa"/>
          </w:tcPr>
          <w:p w:rsidR="00551EC5" w:rsidRPr="004450D6" w:rsidRDefault="00551EC5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551EC5" w:rsidRPr="006E0213" w:rsidRDefault="00551EC5" w:rsidP="00615B28">
            <w:pPr>
              <w:jc w:val="center"/>
            </w:pPr>
            <w:r>
              <w:t>п</w:t>
            </w:r>
            <w:r w:rsidRPr="006E0213">
              <w:t xml:space="preserve">о </w:t>
            </w:r>
            <w:proofErr w:type="spellStart"/>
            <w:proofErr w:type="gramStart"/>
            <w:r w:rsidRPr="006E0213">
              <w:t>консолидирован</w:t>
            </w:r>
            <w:r>
              <w:t>-</w:t>
            </w:r>
            <w:r w:rsidRPr="006E0213">
              <w:t>ному</w:t>
            </w:r>
            <w:proofErr w:type="spellEnd"/>
            <w:proofErr w:type="gramEnd"/>
            <w:r w:rsidRPr="006E0213">
              <w:t xml:space="preserve"> бюджету</w:t>
            </w:r>
          </w:p>
        </w:tc>
        <w:tc>
          <w:tcPr>
            <w:tcW w:w="2340" w:type="dxa"/>
          </w:tcPr>
          <w:p w:rsidR="00551EC5" w:rsidRPr="006E0213" w:rsidRDefault="00551EC5" w:rsidP="00615B28">
            <w:pPr>
              <w:jc w:val="center"/>
            </w:pPr>
            <w:r>
              <w:t>п</w:t>
            </w:r>
            <w:r w:rsidRPr="006E0213">
              <w:t xml:space="preserve">о </w:t>
            </w:r>
            <w:proofErr w:type="spellStart"/>
            <w:proofErr w:type="gramStart"/>
            <w:r w:rsidRPr="006E0213">
              <w:t>республиканс</w:t>
            </w:r>
            <w:r>
              <w:t>-</w:t>
            </w:r>
            <w:r w:rsidRPr="006E0213">
              <w:t>кому</w:t>
            </w:r>
            <w:proofErr w:type="spellEnd"/>
            <w:proofErr w:type="gramEnd"/>
            <w:r w:rsidRPr="006E0213">
              <w:t xml:space="preserve"> бюджету</w:t>
            </w:r>
          </w:p>
        </w:tc>
      </w:tr>
      <w:tr w:rsidR="00551EC5" w:rsidRPr="004450D6" w:rsidTr="00615B28">
        <w:tc>
          <w:tcPr>
            <w:tcW w:w="4608" w:type="dxa"/>
          </w:tcPr>
          <w:p w:rsidR="00551EC5" w:rsidRPr="004450D6" w:rsidRDefault="00551EC5" w:rsidP="00615B28">
            <w:pPr>
              <w:rPr>
                <w:sz w:val="28"/>
                <w:szCs w:val="28"/>
              </w:rPr>
            </w:pPr>
            <w:r w:rsidRPr="004450D6">
              <w:rPr>
                <w:sz w:val="28"/>
                <w:szCs w:val="28"/>
              </w:rPr>
              <w:t>Заработная плата с начислениями казенных учреждений</w:t>
            </w:r>
          </w:p>
        </w:tc>
        <w:tc>
          <w:tcPr>
            <w:tcW w:w="2498" w:type="dxa"/>
            <w:vAlign w:val="center"/>
          </w:tcPr>
          <w:p w:rsidR="00551EC5" w:rsidRPr="004450D6" w:rsidRDefault="00551EC5" w:rsidP="00615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1975,7</w:t>
            </w:r>
          </w:p>
        </w:tc>
        <w:tc>
          <w:tcPr>
            <w:tcW w:w="2340" w:type="dxa"/>
            <w:vAlign w:val="center"/>
          </w:tcPr>
          <w:p w:rsidR="00551EC5" w:rsidRPr="004450D6" w:rsidRDefault="00551EC5" w:rsidP="00615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1044,2</w:t>
            </w:r>
          </w:p>
        </w:tc>
      </w:tr>
      <w:tr w:rsidR="00551EC5" w:rsidRPr="004450D6" w:rsidTr="00615B28">
        <w:trPr>
          <w:trHeight w:val="116"/>
        </w:trPr>
        <w:tc>
          <w:tcPr>
            <w:tcW w:w="4608" w:type="dxa"/>
          </w:tcPr>
          <w:p w:rsidR="00551EC5" w:rsidRPr="004450D6" w:rsidRDefault="00551EC5" w:rsidP="00615B28">
            <w:pPr>
              <w:rPr>
                <w:sz w:val="12"/>
                <w:szCs w:val="12"/>
              </w:rPr>
            </w:pPr>
          </w:p>
        </w:tc>
        <w:tc>
          <w:tcPr>
            <w:tcW w:w="2498" w:type="dxa"/>
            <w:vAlign w:val="center"/>
          </w:tcPr>
          <w:p w:rsidR="00551EC5" w:rsidRPr="004450D6" w:rsidRDefault="00551EC5" w:rsidP="00615B2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40" w:type="dxa"/>
            <w:vAlign w:val="center"/>
          </w:tcPr>
          <w:p w:rsidR="00551EC5" w:rsidRPr="004450D6" w:rsidRDefault="00551EC5" w:rsidP="00615B28">
            <w:pPr>
              <w:jc w:val="center"/>
              <w:rPr>
                <w:sz w:val="12"/>
                <w:szCs w:val="12"/>
              </w:rPr>
            </w:pPr>
          </w:p>
        </w:tc>
      </w:tr>
      <w:tr w:rsidR="00551EC5" w:rsidRPr="004450D6" w:rsidTr="00615B28">
        <w:tc>
          <w:tcPr>
            <w:tcW w:w="4608" w:type="dxa"/>
          </w:tcPr>
          <w:p w:rsidR="00551EC5" w:rsidRPr="004450D6" w:rsidRDefault="00551EC5" w:rsidP="00615B28">
            <w:pPr>
              <w:rPr>
                <w:sz w:val="28"/>
                <w:szCs w:val="28"/>
              </w:rPr>
            </w:pPr>
            <w:r w:rsidRPr="004450D6">
              <w:rPr>
                <w:sz w:val="28"/>
                <w:szCs w:val="28"/>
              </w:rPr>
              <w:t>Оплата коммунальных услуг по казенным учреждениям</w:t>
            </w:r>
          </w:p>
        </w:tc>
        <w:tc>
          <w:tcPr>
            <w:tcW w:w="2498" w:type="dxa"/>
            <w:vAlign w:val="center"/>
          </w:tcPr>
          <w:p w:rsidR="00551EC5" w:rsidRPr="004450D6" w:rsidRDefault="00551EC5" w:rsidP="00615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135,9</w:t>
            </w:r>
          </w:p>
        </w:tc>
        <w:tc>
          <w:tcPr>
            <w:tcW w:w="2340" w:type="dxa"/>
            <w:vAlign w:val="center"/>
          </w:tcPr>
          <w:p w:rsidR="00551EC5" w:rsidRPr="004450D6" w:rsidRDefault="00551EC5" w:rsidP="00615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43,8</w:t>
            </w:r>
          </w:p>
        </w:tc>
      </w:tr>
      <w:tr w:rsidR="00551EC5" w:rsidRPr="004450D6" w:rsidTr="00615B28">
        <w:trPr>
          <w:trHeight w:val="116"/>
        </w:trPr>
        <w:tc>
          <w:tcPr>
            <w:tcW w:w="4608" w:type="dxa"/>
          </w:tcPr>
          <w:p w:rsidR="00551EC5" w:rsidRPr="004450D6" w:rsidRDefault="00551EC5" w:rsidP="00615B28">
            <w:pPr>
              <w:rPr>
                <w:sz w:val="12"/>
                <w:szCs w:val="12"/>
              </w:rPr>
            </w:pPr>
          </w:p>
        </w:tc>
        <w:tc>
          <w:tcPr>
            <w:tcW w:w="2498" w:type="dxa"/>
            <w:vAlign w:val="center"/>
          </w:tcPr>
          <w:p w:rsidR="00551EC5" w:rsidRPr="004450D6" w:rsidRDefault="00551EC5" w:rsidP="00615B2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40" w:type="dxa"/>
            <w:vAlign w:val="center"/>
          </w:tcPr>
          <w:p w:rsidR="00551EC5" w:rsidRPr="004450D6" w:rsidRDefault="00551EC5" w:rsidP="00615B28">
            <w:pPr>
              <w:jc w:val="center"/>
              <w:rPr>
                <w:sz w:val="12"/>
                <w:szCs w:val="12"/>
              </w:rPr>
            </w:pPr>
          </w:p>
        </w:tc>
      </w:tr>
      <w:tr w:rsidR="00551EC5" w:rsidRPr="004450D6" w:rsidTr="00615B28">
        <w:tc>
          <w:tcPr>
            <w:tcW w:w="4608" w:type="dxa"/>
          </w:tcPr>
          <w:p w:rsidR="00551EC5" w:rsidRPr="004450D6" w:rsidRDefault="00551EC5" w:rsidP="00615B28">
            <w:pPr>
              <w:rPr>
                <w:sz w:val="28"/>
                <w:szCs w:val="28"/>
              </w:rPr>
            </w:pPr>
            <w:r w:rsidRPr="004450D6">
              <w:rPr>
                <w:sz w:val="28"/>
                <w:szCs w:val="28"/>
              </w:rPr>
              <w:t xml:space="preserve">Социальное обеспечение по </w:t>
            </w:r>
            <w:r w:rsidRPr="004450D6">
              <w:rPr>
                <w:sz w:val="28"/>
                <w:szCs w:val="28"/>
              </w:rPr>
              <w:lastRenderedPageBreak/>
              <w:t>казенным учреждениям</w:t>
            </w:r>
          </w:p>
        </w:tc>
        <w:tc>
          <w:tcPr>
            <w:tcW w:w="2498" w:type="dxa"/>
            <w:vAlign w:val="center"/>
          </w:tcPr>
          <w:p w:rsidR="00551EC5" w:rsidRPr="004450D6" w:rsidRDefault="00551EC5" w:rsidP="00615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2065,6</w:t>
            </w:r>
          </w:p>
        </w:tc>
        <w:tc>
          <w:tcPr>
            <w:tcW w:w="2340" w:type="dxa"/>
            <w:vAlign w:val="center"/>
          </w:tcPr>
          <w:p w:rsidR="00551EC5" w:rsidRPr="004450D6" w:rsidRDefault="00551EC5" w:rsidP="00615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1752,7</w:t>
            </w:r>
          </w:p>
        </w:tc>
      </w:tr>
      <w:tr w:rsidR="00551EC5" w:rsidRPr="004450D6" w:rsidTr="00615B28">
        <w:trPr>
          <w:trHeight w:val="116"/>
        </w:trPr>
        <w:tc>
          <w:tcPr>
            <w:tcW w:w="4608" w:type="dxa"/>
          </w:tcPr>
          <w:p w:rsidR="00551EC5" w:rsidRPr="004450D6" w:rsidRDefault="00551EC5" w:rsidP="00615B28">
            <w:pPr>
              <w:rPr>
                <w:sz w:val="12"/>
                <w:szCs w:val="12"/>
              </w:rPr>
            </w:pPr>
          </w:p>
        </w:tc>
        <w:tc>
          <w:tcPr>
            <w:tcW w:w="2498" w:type="dxa"/>
            <w:vAlign w:val="center"/>
          </w:tcPr>
          <w:p w:rsidR="00551EC5" w:rsidRPr="004450D6" w:rsidRDefault="00551EC5" w:rsidP="00615B2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40" w:type="dxa"/>
            <w:vAlign w:val="center"/>
          </w:tcPr>
          <w:p w:rsidR="00551EC5" w:rsidRPr="004450D6" w:rsidRDefault="00551EC5" w:rsidP="00615B28">
            <w:pPr>
              <w:jc w:val="center"/>
              <w:rPr>
                <w:sz w:val="12"/>
                <w:szCs w:val="12"/>
              </w:rPr>
            </w:pPr>
          </w:p>
        </w:tc>
      </w:tr>
      <w:tr w:rsidR="00551EC5" w:rsidRPr="004450D6" w:rsidTr="00615B28">
        <w:tc>
          <w:tcPr>
            <w:tcW w:w="4608" w:type="dxa"/>
          </w:tcPr>
          <w:p w:rsidR="00551EC5" w:rsidRPr="004450D6" w:rsidRDefault="00551EC5" w:rsidP="00615B28">
            <w:pPr>
              <w:rPr>
                <w:sz w:val="28"/>
                <w:szCs w:val="28"/>
              </w:rPr>
            </w:pPr>
            <w:r w:rsidRPr="004450D6">
              <w:rPr>
                <w:sz w:val="28"/>
                <w:szCs w:val="28"/>
              </w:rPr>
              <w:t>Платежи на обязательное медицинское страхование</w:t>
            </w:r>
          </w:p>
        </w:tc>
        <w:tc>
          <w:tcPr>
            <w:tcW w:w="2498" w:type="dxa"/>
            <w:vAlign w:val="center"/>
          </w:tcPr>
          <w:p w:rsidR="00551EC5" w:rsidRPr="004450D6" w:rsidRDefault="00551EC5" w:rsidP="00615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1635,2</w:t>
            </w:r>
          </w:p>
        </w:tc>
        <w:tc>
          <w:tcPr>
            <w:tcW w:w="2340" w:type="dxa"/>
            <w:vAlign w:val="center"/>
          </w:tcPr>
          <w:p w:rsidR="00551EC5" w:rsidRPr="004450D6" w:rsidRDefault="00551EC5" w:rsidP="00615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1635,2</w:t>
            </w:r>
          </w:p>
        </w:tc>
      </w:tr>
      <w:tr w:rsidR="00551EC5" w:rsidRPr="004450D6" w:rsidTr="00615B28">
        <w:trPr>
          <w:trHeight w:val="116"/>
        </w:trPr>
        <w:tc>
          <w:tcPr>
            <w:tcW w:w="4608" w:type="dxa"/>
          </w:tcPr>
          <w:p w:rsidR="00551EC5" w:rsidRPr="004450D6" w:rsidRDefault="00551EC5" w:rsidP="00615B28">
            <w:pPr>
              <w:rPr>
                <w:sz w:val="12"/>
                <w:szCs w:val="12"/>
              </w:rPr>
            </w:pPr>
          </w:p>
        </w:tc>
        <w:tc>
          <w:tcPr>
            <w:tcW w:w="2498" w:type="dxa"/>
            <w:vAlign w:val="center"/>
          </w:tcPr>
          <w:p w:rsidR="00551EC5" w:rsidRPr="004450D6" w:rsidRDefault="00551EC5" w:rsidP="00615B2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40" w:type="dxa"/>
            <w:vAlign w:val="center"/>
          </w:tcPr>
          <w:p w:rsidR="00551EC5" w:rsidRPr="004450D6" w:rsidRDefault="00551EC5" w:rsidP="00615B28">
            <w:pPr>
              <w:jc w:val="center"/>
              <w:rPr>
                <w:sz w:val="12"/>
                <w:szCs w:val="12"/>
              </w:rPr>
            </w:pPr>
          </w:p>
        </w:tc>
      </w:tr>
      <w:tr w:rsidR="00551EC5" w:rsidRPr="004450D6" w:rsidTr="00615B28">
        <w:tc>
          <w:tcPr>
            <w:tcW w:w="4608" w:type="dxa"/>
          </w:tcPr>
          <w:p w:rsidR="00551EC5" w:rsidRPr="004450D6" w:rsidRDefault="00551EC5" w:rsidP="00615B28">
            <w:pPr>
              <w:rPr>
                <w:sz w:val="28"/>
                <w:szCs w:val="28"/>
              </w:rPr>
            </w:pPr>
            <w:r w:rsidRPr="004450D6">
              <w:rPr>
                <w:sz w:val="28"/>
                <w:szCs w:val="28"/>
              </w:rPr>
              <w:t>Увеличение стоимости материальных запасов (питание, медикаменты и т.д.) по казенным учреждениям</w:t>
            </w:r>
          </w:p>
        </w:tc>
        <w:tc>
          <w:tcPr>
            <w:tcW w:w="2498" w:type="dxa"/>
            <w:vAlign w:val="center"/>
          </w:tcPr>
          <w:p w:rsidR="00551EC5" w:rsidRPr="004450D6" w:rsidRDefault="00551EC5" w:rsidP="00615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310,8</w:t>
            </w:r>
          </w:p>
        </w:tc>
        <w:tc>
          <w:tcPr>
            <w:tcW w:w="2340" w:type="dxa"/>
            <w:vAlign w:val="center"/>
          </w:tcPr>
          <w:p w:rsidR="00551EC5" w:rsidRPr="004450D6" w:rsidRDefault="00551EC5" w:rsidP="00615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231,2</w:t>
            </w:r>
          </w:p>
        </w:tc>
      </w:tr>
      <w:tr w:rsidR="00551EC5" w:rsidRPr="004450D6" w:rsidTr="00615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1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551EC5" w:rsidRPr="004450D6" w:rsidRDefault="00551EC5" w:rsidP="00615B28">
            <w:pPr>
              <w:rPr>
                <w:sz w:val="12"/>
                <w:szCs w:val="12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551EC5" w:rsidRPr="004450D6" w:rsidRDefault="00551EC5" w:rsidP="00615B2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51EC5" w:rsidRPr="004450D6" w:rsidRDefault="00551EC5" w:rsidP="00615B28">
            <w:pPr>
              <w:jc w:val="center"/>
              <w:rPr>
                <w:sz w:val="12"/>
                <w:szCs w:val="12"/>
              </w:rPr>
            </w:pPr>
          </w:p>
        </w:tc>
      </w:tr>
      <w:tr w:rsidR="00551EC5" w:rsidRPr="004450D6" w:rsidTr="00615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551EC5" w:rsidRPr="004450D6" w:rsidRDefault="00551EC5" w:rsidP="00615B28">
            <w:pPr>
              <w:rPr>
                <w:sz w:val="28"/>
                <w:szCs w:val="28"/>
              </w:rPr>
            </w:pPr>
            <w:r w:rsidRPr="004450D6">
              <w:rPr>
                <w:sz w:val="28"/>
                <w:szCs w:val="28"/>
              </w:rPr>
              <w:t xml:space="preserve">Безвозмездные перечисления </w:t>
            </w:r>
            <w:r w:rsidRPr="004450D6">
              <w:rPr>
                <w:sz w:val="28"/>
                <w:szCs w:val="28"/>
              </w:rPr>
              <w:br/>
              <w:t>бюджетным учреждениям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551EC5" w:rsidRPr="004450D6" w:rsidRDefault="00551EC5" w:rsidP="00615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6017,1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51EC5" w:rsidRPr="004450D6" w:rsidRDefault="00551EC5" w:rsidP="00615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2054,4</w:t>
            </w:r>
          </w:p>
        </w:tc>
      </w:tr>
    </w:tbl>
    <w:p w:rsidR="00014A00" w:rsidRDefault="00014A00" w:rsidP="00EC6C1C">
      <w:pPr>
        <w:pStyle w:val="a3"/>
        <w:rPr>
          <w:i/>
        </w:rPr>
      </w:pPr>
    </w:p>
    <w:p w:rsidR="00545332" w:rsidRDefault="00545332" w:rsidP="005453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2014 году республиканским бюджетом обеспечено исполнение бюджетных обязательств перед местными бюджетами на сумму 4</w:t>
      </w:r>
      <w:r w:rsidR="001A348D">
        <w:rPr>
          <w:sz w:val="28"/>
          <w:szCs w:val="28"/>
        </w:rPr>
        <w:t xml:space="preserve"> миллиарда </w:t>
      </w:r>
      <w:r>
        <w:rPr>
          <w:sz w:val="28"/>
          <w:szCs w:val="28"/>
        </w:rPr>
        <w:t xml:space="preserve">41 </w:t>
      </w:r>
      <w:r w:rsidR="001A348D">
        <w:rPr>
          <w:sz w:val="28"/>
          <w:szCs w:val="28"/>
        </w:rPr>
        <w:t>миллион</w:t>
      </w:r>
      <w:r>
        <w:rPr>
          <w:sz w:val="28"/>
          <w:szCs w:val="28"/>
        </w:rPr>
        <w:t xml:space="preserve"> рублей. Перечислено дотаций местным бюджетам в сумме 604,7 </w:t>
      </w:r>
      <w:r w:rsidR="001A348D">
        <w:rPr>
          <w:sz w:val="28"/>
          <w:szCs w:val="28"/>
        </w:rPr>
        <w:t>миллионов</w:t>
      </w:r>
      <w:r>
        <w:rPr>
          <w:sz w:val="28"/>
          <w:szCs w:val="28"/>
        </w:rPr>
        <w:t xml:space="preserve"> рублей, в том числе дотаций на обеспечение мер сбалансированности местных бюджетов передано в сумме 343,3 </w:t>
      </w:r>
      <w:r w:rsidR="001A348D">
        <w:rPr>
          <w:sz w:val="28"/>
          <w:szCs w:val="28"/>
        </w:rPr>
        <w:t>миллионов</w:t>
      </w:r>
      <w:r>
        <w:rPr>
          <w:sz w:val="28"/>
          <w:szCs w:val="28"/>
        </w:rPr>
        <w:t xml:space="preserve"> рублей. Кроме того, передано дотаций на поощрение </w:t>
      </w:r>
      <w:proofErr w:type="gramStart"/>
      <w:r>
        <w:rPr>
          <w:sz w:val="28"/>
          <w:szCs w:val="28"/>
        </w:rPr>
        <w:t>достижения наилучших значений показателей деятельности органов местного самоуправления муниципальных</w:t>
      </w:r>
      <w:proofErr w:type="gramEnd"/>
      <w:r>
        <w:rPr>
          <w:sz w:val="28"/>
          <w:szCs w:val="28"/>
        </w:rPr>
        <w:t xml:space="preserve"> районов (городских округов) в сумме 5</w:t>
      </w:r>
      <w:r w:rsidR="001A348D">
        <w:rPr>
          <w:sz w:val="28"/>
          <w:szCs w:val="28"/>
        </w:rPr>
        <w:t xml:space="preserve"> миллионов</w:t>
      </w:r>
      <w:r>
        <w:rPr>
          <w:sz w:val="28"/>
          <w:szCs w:val="28"/>
        </w:rPr>
        <w:t xml:space="preserve"> рублей.</w:t>
      </w:r>
    </w:p>
    <w:p w:rsidR="00545332" w:rsidRDefault="00545332" w:rsidP="005453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Республиканским бюджетом согласно фактической потребности исполнены бюджетные обязательства по финансированию передаваемых республиканским бюджетом государственных полномочий федерального бюджета и Республики Адыгея на сумму 2</w:t>
      </w:r>
      <w:r w:rsidR="001A348D">
        <w:rPr>
          <w:sz w:val="28"/>
          <w:szCs w:val="28"/>
        </w:rPr>
        <w:t xml:space="preserve"> миллиарда </w:t>
      </w:r>
      <w:r>
        <w:rPr>
          <w:sz w:val="28"/>
          <w:szCs w:val="28"/>
        </w:rPr>
        <w:t xml:space="preserve">868,4 </w:t>
      </w:r>
      <w:r w:rsidR="001A348D">
        <w:rPr>
          <w:sz w:val="28"/>
          <w:szCs w:val="28"/>
        </w:rPr>
        <w:t>миллиона</w:t>
      </w:r>
      <w:r>
        <w:rPr>
          <w:sz w:val="28"/>
          <w:szCs w:val="28"/>
        </w:rPr>
        <w:t xml:space="preserve"> рублей.</w:t>
      </w:r>
    </w:p>
    <w:p w:rsidR="00545332" w:rsidRDefault="00545332" w:rsidP="005453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Также передано иными межбюджетными трансфертами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 xml:space="preserve">умме 25,6 </w:t>
      </w:r>
      <w:proofErr w:type="spellStart"/>
      <w:r w:rsidR="001A348D">
        <w:rPr>
          <w:sz w:val="28"/>
          <w:szCs w:val="28"/>
        </w:rPr>
        <w:t>милилонов</w:t>
      </w:r>
      <w:proofErr w:type="spellEnd"/>
      <w:r>
        <w:rPr>
          <w:sz w:val="28"/>
          <w:szCs w:val="28"/>
        </w:rPr>
        <w:t xml:space="preserve"> рублей на финансирование социальных мероприятий, включая федеральные средства (мероприятия по оздоровлению детей, в области культуры и т.д.).</w:t>
      </w:r>
    </w:p>
    <w:p w:rsidR="00545332" w:rsidRPr="00A3684B" w:rsidRDefault="00545332" w:rsidP="00545332">
      <w:pPr>
        <w:ind w:firstLine="720"/>
        <w:jc w:val="both"/>
        <w:rPr>
          <w:sz w:val="28"/>
          <w:szCs w:val="28"/>
        </w:rPr>
      </w:pPr>
      <w:r w:rsidRPr="00A3684B">
        <w:rPr>
          <w:sz w:val="28"/>
          <w:szCs w:val="28"/>
        </w:rPr>
        <w:t xml:space="preserve">Кроме того, передавались муниципальным районам и городским округам субсидии на </w:t>
      </w:r>
      <w:proofErr w:type="spellStart"/>
      <w:r w:rsidRPr="00A3684B">
        <w:rPr>
          <w:sz w:val="28"/>
          <w:szCs w:val="28"/>
        </w:rPr>
        <w:t>софинансирование</w:t>
      </w:r>
      <w:proofErr w:type="spellEnd"/>
      <w:r w:rsidRPr="00A3684B">
        <w:rPr>
          <w:sz w:val="28"/>
          <w:szCs w:val="28"/>
        </w:rPr>
        <w:t xml:space="preserve"> расходных полномочий местных бюджетов всего на сумму </w:t>
      </w:r>
      <w:r>
        <w:rPr>
          <w:sz w:val="28"/>
          <w:szCs w:val="28"/>
        </w:rPr>
        <w:t>540,2</w:t>
      </w:r>
      <w:r w:rsidRPr="00A3684B">
        <w:rPr>
          <w:sz w:val="28"/>
          <w:szCs w:val="28"/>
        </w:rPr>
        <w:t xml:space="preserve"> </w:t>
      </w:r>
      <w:r w:rsidR="001A348D">
        <w:rPr>
          <w:sz w:val="28"/>
          <w:szCs w:val="28"/>
        </w:rPr>
        <w:t>миллионов</w:t>
      </w:r>
      <w:r w:rsidRPr="00A3684B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13,4</w:t>
      </w:r>
      <w:r w:rsidRPr="00A3684B">
        <w:rPr>
          <w:sz w:val="28"/>
          <w:szCs w:val="28"/>
        </w:rPr>
        <w:t xml:space="preserve"> процента от общей суммы трансфертов.</w:t>
      </w:r>
    </w:p>
    <w:p w:rsidR="00545332" w:rsidRDefault="00545332" w:rsidP="005453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реализации федеральных решений и недостаточность собственных доходных источников привели муниципальные образования Республики Адыгея к необходимости привлечения бюджетных кредитов на финансирование дефицита местных бюджетов. </w:t>
      </w:r>
      <w:proofErr w:type="gramStart"/>
      <w:r>
        <w:rPr>
          <w:sz w:val="28"/>
          <w:szCs w:val="28"/>
        </w:rPr>
        <w:t>Всего получено муниципальными районами (городскими округами) бюджетных кредитов на кассовый разрыв 30</w:t>
      </w:r>
      <w:r w:rsidR="001A348D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1A348D">
        <w:rPr>
          <w:sz w:val="28"/>
          <w:szCs w:val="28"/>
        </w:rPr>
        <w:t>иллионов</w:t>
      </w:r>
      <w:r>
        <w:rPr>
          <w:sz w:val="28"/>
          <w:szCs w:val="28"/>
        </w:rPr>
        <w:t xml:space="preserve"> рублей (</w:t>
      </w:r>
      <w:proofErr w:type="spellStart"/>
      <w:r>
        <w:rPr>
          <w:sz w:val="28"/>
          <w:szCs w:val="28"/>
        </w:rPr>
        <w:t>Кошехабльский</w:t>
      </w:r>
      <w:proofErr w:type="spellEnd"/>
      <w:r>
        <w:rPr>
          <w:sz w:val="28"/>
          <w:szCs w:val="28"/>
        </w:rPr>
        <w:t xml:space="preserve"> район – 20,0 млн. рублей, </w:t>
      </w:r>
      <w:proofErr w:type="spellStart"/>
      <w:r>
        <w:rPr>
          <w:sz w:val="28"/>
          <w:szCs w:val="28"/>
        </w:rPr>
        <w:t>Теучежский</w:t>
      </w:r>
      <w:proofErr w:type="spellEnd"/>
      <w:r>
        <w:rPr>
          <w:sz w:val="28"/>
          <w:szCs w:val="28"/>
        </w:rPr>
        <w:t xml:space="preserve"> район – 10,0 млн. рублей), на погашение дефицита – 228,7 </w:t>
      </w:r>
      <w:r w:rsidR="001A348D">
        <w:rPr>
          <w:sz w:val="28"/>
          <w:szCs w:val="28"/>
        </w:rPr>
        <w:t>миллионов</w:t>
      </w:r>
      <w:r>
        <w:rPr>
          <w:sz w:val="28"/>
          <w:szCs w:val="28"/>
        </w:rPr>
        <w:t xml:space="preserve"> рублей, в том числе город Майкоп – 85,0 млн. рублей, город </w:t>
      </w:r>
      <w:proofErr w:type="spellStart"/>
      <w:r>
        <w:rPr>
          <w:sz w:val="28"/>
          <w:szCs w:val="28"/>
        </w:rPr>
        <w:t>Адыгейск</w:t>
      </w:r>
      <w:proofErr w:type="spellEnd"/>
      <w:r>
        <w:rPr>
          <w:sz w:val="28"/>
          <w:szCs w:val="28"/>
        </w:rPr>
        <w:t xml:space="preserve"> – 15,0 млн. рублей, </w:t>
      </w:r>
      <w:proofErr w:type="spellStart"/>
      <w:r>
        <w:rPr>
          <w:sz w:val="28"/>
          <w:szCs w:val="28"/>
        </w:rPr>
        <w:t>Кошехабльский</w:t>
      </w:r>
      <w:proofErr w:type="spellEnd"/>
      <w:r>
        <w:rPr>
          <w:sz w:val="28"/>
          <w:szCs w:val="28"/>
        </w:rPr>
        <w:t xml:space="preserve"> район – 51,0 млн. рублей, Майкопский район – 38,7 млн. рублей, </w:t>
      </w:r>
      <w:proofErr w:type="spellStart"/>
      <w:r>
        <w:rPr>
          <w:sz w:val="28"/>
          <w:szCs w:val="28"/>
        </w:rPr>
        <w:t>Теучежский</w:t>
      </w:r>
      <w:proofErr w:type="spellEnd"/>
      <w:r>
        <w:rPr>
          <w:sz w:val="28"/>
          <w:szCs w:val="28"/>
        </w:rPr>
        <w:t xml:space="preserve"> район – 20,0 млн. рублей, </w:t>
      </w:r>
      <w:proofErr w:type="spellStart"/>
      <w:r>
        <w:rPr>
          <w:sz w:val="28"/>
          <w:szCs w:val="28"/>
        </w:rPr>
        <w:t>Гиагинский</w:t>
      </w:r>
      <w:proofErr w:type="spellEnd"/>
      <w:r>
        <w:rPr>
          <w:sz w:val="28"/>
          <w:szCs w:val="28"/>
        </w:rPr>
        <w:t xml:space="preserve"> район</w:t>
      </w:r>
      <w:proofErr w:type="gramEnd"/>
      <w:r>
        <w:rPr>
          <w:sz w:val="28"/>
          <w:szCs w:val="28"/>
        </w:rPr>
        <w:t xml:space="preserve"> – 10,0 млн. рублей, Красногвардейский район – 9,0 млн. рублей.</w:t>
      </w:r>
    </w:p>
    <w:p w:rsidR="00545332" w:rsidRDefault="00545332" w:rsidP="005453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Общи</w:t>
      </w:r>
      <w:r w:rsidR="002A5DEA">
        <w:rPr>
          <w:sz w:val="28"/>
          <w:szCs w:val="28"/>
        </w:rPr>
        <w:t>й</w:t>
      </w:r>
      <w:r>
        <w:rPr>
          <w:sz w:val="28"/>
          <w:szCs w:val="28"/>
        </w:rPr>
        <w:t xml:space="preserve"> объем  задолженности по бюджетным кредитам муниципальных образований составлял на  1 января 2015 года 768,8 </w:t>
      </w:r>
      <w:r w:rsidR="001A348D">
        <w:rPr>
          <w:sz w:val="28"/>
          <w:szCs w:val="28"/>
        </w:rPr>
        <w:t>миллионов</w:t>
      </w:r>
      <w:r>
        <w:rPr>
          <w:sz w:val="28"/>
          <w:szCs w:val="28"/>
        </w:rPr>
        <w:t xml:space="preserve"> рублей и увеличил</w:t>
      </w:r>
      <w:r w:rsidR="002A5DEA">
        <w:rPr>
          <w:sz w:val="28"/>
          <w:szCs w:val="28"/>
        </w:rPr>
        <w:t>ся</w:t>
      </w:r>
      <w:r>
        <w:rPr>
          <w:sz w:val="28"/>
          <w:szCs w:val="28"/>
        </w:rPr>
        <w:t xml:space="preserve"> по сравнению с предыдущим годом на 25 процентов или на 154 </w:t>
      </w:r>
      <w:r w:rsidR="001A348D">
        <w:rPr>
          <w:sz w:val="28"/>
          <w:szCs w:val="28"/>
        </w:rPr>
        <w:t>миллиона</w:t>
      </w:r>
      <w:r>
        <w:rPr>
          <w:sz w:val="28"/>
          <w:szCs w:val="28"/>
        </w:rPr>
        <w:t xml:space="preserve"> рублей. В разрезе муниципальных районов (городских округов) показатели задолженности по кредитам следующие:</w:t>
      </w:r>
    </w:p>
    <w:p w:rsidR="00545332" w:rsidRDefault="00545332" w:rsidP="00545332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город Майкоп – 457,4 млн. рублей (в том числе дороги – 239,3 млн. рублей, детские сады – 33,1 млн. рублей, дефицит – 185,0 млн. рублей);</w:t>
      </w:r>
      <w:proofErr w:type="gramEnd"/>
    </w:p>
    <w:p w:rsidR="00545332" w:rsidRDefault="00545332" w:rsidP="005453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город </w:t>
      </w:r>
      <w:proofErr w:type="spellStart"/>
      <w:r>
        <w:rPr>
          <w:sz w:val="28"/>
          <w:szCs w:val="28"/>
        </w:rPr>
        <w:t>Адыгейск</w:t>
      </w:r>
      <w:proofErr w:type="spellEnd"/>
      <w:r>
        <w:rPr>
          <w:sz w:val="28"/>
          <w:szCs w:val="28"/>
        </w:rPr>
        <w:t xml:space="preserve"> – 50,0 млн. рулей;</w:t>
      </w:r>
    </w:p>
    <w:p w:rsidR="00545332" w:rsidRDefault="00545332" w:rsidP="005453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Майкопский район – 72,4 млн. рублей;</w:t>
      </w:r>
    </w:p>
    <w:p w:rsidR="00545332" w:rsidRDefault="00545332" w:rsidP="005453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Гиагинский</w:t>
      </w:r>
      <w:proofErr w:type="spellEnd"/>
      <w:r>
        <w:rPr>
          <w:sz w:val="28"/>
          <w:szCs w:val="28"/>
        </w:rPr>
        <w:t xml:space="preserve"> район – 20,0 млн. рублей;</w:t>
      </w:r>
    </w:p>
    <w:p w:rsidR="00545332" w:rsidRDefault="00545332" w:rsidP="005453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Красногвардейский район – 9,0 млн. рублей;</w:t>
      </w:r>
    </w:p>
    <w:p w:rsidR="00545332" w:rsidRDefault="00545332" w:rsidP="005453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Кошехабльский</w:t>
      </w:r>
      <w:proofErr w:type="spellEnd"/>
      <w:r>
        <w:rPr>
          <w:sz w:val="28"/>
          <w:szCs w:val="28"/>
        </w:rPr>
        <w:t xml:space="preserve"> район – 68,0 млн. рублей;</w:t>
      </w:r>
    </w:p>
    <w:p w:rsidR="00545332" w:rsidRDefault="00545332" w:rsidP="005453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Шовгеновский район – 26,5 млн. рублей;</w:t>
      </w:r>
    </w:p>
    <w:p w:rsidR="00545332" w:rsidRDefault="00545332" w:rsidP="005453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Теучежский</w:t>
      </w:r>
      <w:proofErr w:type="spellEnd"/>
      <w:r>
        <w:rPr>
          <w:sz w:val="28"/>
          <w:szCs w:val="28"/>
        </w:rPr>
        <w:t xml:space="preserve"> район – 65,5 млн. рублей.</w:t>
      </w:r>
    </w:p>
    <w:p w:rsidR="00545332" w:rsidRDefault="00545332" w:rsidP="005453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обслуживание муниципального долга в 2014 году составили 39,8 </w:t>
      </w:r>
      <w:r w:rsidR="001A348D">
        <w:rPr>
          <w:sz w:val="28"/>
          <w:szCs w:val="28"/>
        </w:rPr>
        <w:t>миллионов</w:t>
      </w:r>
      <w:r>
        <w:rPr>
          <w:sz w:val="28"/>
          <w:szCs w:val="28"/>
        </w:rPr>
        <w:t xml:space="preserve"> рублей.</w:t>
      </w:r>
    </w:p>
    <w:p w:rsidR="00545332" w:rsidRDefault="00545332" w:rsidP="005453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у муниципальных районов (городских округов) намечается тенденция к резкому росту муниципального долга, который в отдельных муниципальных образованиях превышает предельно допустимый уровень для дальнейшего получения кредитов. Все это негативно сказывается на финансовой устойчивости местных бюджетов. Муниципальные бюджеты </w:t>
      </w:r>
      <w:proofErr w:type="gramStart"/>
      <w:r>
        <w:rPr>
          <w:sz w:val="28"/>
          <w:szCs w:val="28"/>
        </w:rPr>
        <w:t>становятся все более зависимы</w:t>
      </w:r>
      <w:proofErr w:type="gramEnd"/>
      <w:r>
        <w:rPr>
          <w:sz w:val="28"/>
          <w:szCs w:val="28"/>
        </w:rPr>
        <w:t xml:space="preserve"> от финансовой поддержки из республиканского бюджета, а их растущие долговые обязательства являются отрицательным показателем при достижении целей, поставленных федеральными Указами и принятыми в соответствии с ними нормативными правовыми актами Республики Адыгея.</w:t>
      </w:r>
    </w:p>
    <w:p w:rsidR="00545332" w:rsidRDefault="00545332" w:rsidP="005453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Расходы консолидированных бюджетов муниципальных районов (городских округов) исполнены в сумме 6</w:t>
      </w:r>
      <w:r w:rsidR="001A348D">
        <w:rPr>
          <w:sz w:val="28"/>
          <w:szCs w:val="28"/>
        </w:rPr>
        <w:t xml:space="preserve"> миллиардов </w:t>
      </w:r>
      <w:r>
        <w:rPr>
          <w:sz w:val="28"/>
          <w:szCs w:val="28"/>
        </w:rPr>
        <w:t xml:space="preserve">816,6 </w:t>
      </w:r>
      <w:r w:rsidR="001A348D">
        <w:rPr>
          <w:sz w:val="28"/>
          <w:szCs w:val="28"/>
        </w:rPr>
        <w:t>миллионов</w:t>
      </w:r>
      <w:r>
        <w:rPr>
          <w:sz w:val="28"/>
          <w:szCs w:val="28"/>
        </w:rPr>
        <w:t xml:space="preserve"> рублей, доходы исполнены на 6</w:t>
      </w:r>
      <w:r w:rsidR="00E90B4A">
        <w:rPr>
          <w:sz w:val="28"/>
          <w:szCs w:val="28"/>
        </w:rPr>
        <w:t xml:space="preserve"> миллиардов </w:t>
      </w:r>
      <w:r>
        <w:rPr>
          <w:sz w:val="28"/>
          <w:szCs w:val="28"/>
        </w:rPr>
        <w:t xml:space="preserve">645,8 </w:t>
      </w:r>
      <w:r w:rsidR="00E90B4A">
        <w:rPr>
          <w:sz w:val="28"/>
          <w:szCs w:val="28"/>
        </w:rPr>
        <w:t>миллионов</w:t>
      </w:r>
      <w:r>
        <w:rPr>
          <w:sz w:val="28"/>
          <w:szCs w:val="28"/>
        </w:rPr>
        <w:t xml:space="preserve"> рублей. Дефицит составил 170,8 </w:t>
      </w:r>
      <w:r w:rsidR="00E90B4A">
        <w:rPr>
          <w:sz w:val="28"/>
          <w:szCs w:val="28"/>
        </w:rPr>
        <w:t>миллионов</w:t>
      </w:r>
      <w:r>
        <w:rPr>
          <w:sz w:val="28"/>
          <w:szCs w:val="28"/>
        </w:rPr>
        <w:t xml:space="preserve"> рублей. Источниками погашения дефицита послужили использованные остатки прошлого года и полученные кредиты из республиканского бюджета и кредитных организаций.</w:t>
      </w:r>
    </w:p>
    <w:p w:rsidR="00E90B4A" w:rsidRPr="004E6B40" w:rsidRDefault="00E90B4A" w:rsidP="001C65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A5DEA" w:rsidRDefault="002A5DEA" w:rsidP="001C6569">
      <w:pPr>
        <w:ind w:firstLine="720"/>
        <w:jc w:val="both"/>
        <w:rPr>
          <w:sz w:val="28"/>
          <w:szCs w:val="28"/>
        </w:rPr>
      </w:pPr>
    </w:p>
    <w:p w:rsidR="002A5DEA" w:rsidRDefault="002A5DEA" w:rsidP="001C6569">
      <w:pPr>
        <w:ind w:firstLine="720"/>
        <w:jc w:val="both"/>
        <w:rPr>
          <w:sz w:val="28"/>
          <w:szCs w:val="28"/>
        </w:rPr>
      </w:pPr>
    </w:p>
    <w:p w:rsidR="001C6569" w:rsidRDefault="001C6569" w:rsidP="001C6569">
      <w:pPr>
        <w:ind w:firstLine="720"/>
        <w:jc w:val="both"/>
        <w:rPr>
          <w:sz w:val="28"/>
          <w:szCs w:val="28"/>
        </w:rPr>
      </w:pPr>
    </w:p>
    <w:p w:rsidR="00551EC5" w:rsidRDefault="00551EC5" w:rsidP="00EC6C1C">
      <w:pPr>
        <w:pStyle w:val="a3"/>
        <w:rPr>
          <w:i/>
        </w:rPr>
      </w:pPr>
    </w:p>
    <w:p w:rsidR="001C6569" w:rsidRPr="00A91D47" w:rsidRDefault="001C6569" w:rsidP="00EC6C1C">
      <w:pPr>
        <w:pStyle w:val="a3"/>
        <w:rPr>
          <w:i/>
        </w:rPr>
      </w:pPr>
    </w:p>
    <w:p w:rsidR="0030685F" w:rsidRDefault="0030685F"/>
    <w:sectPr w:rsidR="0030685F" w:rsidSect="00E44D21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599" w:rsidRDefault="00516599" w:rsidP="00E44D21">
      <w:r>
        <w:separator/>
      </w:r>
    </w:p>
  </w:endnote>
  <w:endnote w:type="continuationSeparator" w:id="0">
    <w:p w:rsidR="00516599" w:rsidRDefault="00516599" w:rsidP="00E44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7921"/>
      <w:docPartObj>
        <w:docPartGallery w:val="Page Numbers (Bottom of Page)"/>
        <w:docPartUnique/>
      </w:docPartObj>
    </w:sdtPr>
    <w:sdtContent>
      <w:p w:rsidR="00E44D21" w:rsidRDefault="00114AB9">
        <w:pPr>
          <w:pStyle w:val="a8"/>
          <w:jc w:val="right"/>
        </w:pPr>
        <w:fldSimple w:instr=" PAGE   \* MERGEFORMAT ">
          <w:r w:rsidR="00905BA8">
            <w:rPr>
              <w:noProof/>
            </w:rPr>
            <w:t>2</w:t>
          </w:r>
        </w:fldSimple>
      </w:p>
    </w:sdtContent>
  </w:sdt>
  <w:p w:rsidR="00E44D21" w:rsidRDefault="00E44D2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599" w:rsidRDefault="00516599" w:rsidP="00E44D21">
      <w:r>
        <w:separator/>
      </w:r>
    </w:p>
  </w:footnote>
  <w:footnote w:type="continuationSeparator" w:id="0">
    <w:p w:rsidR="00516599" w:rsidRDefault="00516599" w:rsidP="00E44D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901"/>
    <w:rsid w:val="00014A00"/>
    <w:rsid w:val="00114AB9"/>
    <w:rsid w:val="001A348D"/>
    <w:rsid w:val="001C6569"/>
    <w:rsid w:val="00221BDB"/>
    <w:rsid w:val="002A5DEA"/>
    <w:rsid w:val="0030685F"/>
    <w:rsid w:val="003D7697"/>
    <w:rsid w:val="004B5D4C"/>
    <w:rsid w:val="004C67BB"/>
    <w:rsid w:val="004F794C"/>
    <w:rsid w:val="00516599"/>
    <w:rsid w:val="00545332"/>
    <w:rsid w:val="00551EC5"/>
    <w:rsid w:val="00675052"/>
    <w:rsid w:val="00754A31"/>
    <w:rsid w:val="00816B3E"/>
    <w:rsid w:val="00891967"/>
    <w:rsid w:val="00905BA8"/>
    <w:rsid w:val="00A04901"/>
    <w:rsid w:val="00A34037"/>
    <w:rsid w:val="00A52BBB"/>
    <w:rsid w:val="00AE667E"/>
    <w:rsid w:val="00C9396A"/>
    <w:rsid w:val="00C9432E"/>
    <w:rsid w:val="00D41AE8"/>
    <w:rsid w:val="00D60364"/>
    <w:rsid w:val="00E44D21"/>
    <w:rsid w:val="00E90B4A"/>
    <w:rsid w:val="00EA0525"/>
    <w:rsid w:val="00EC6C1C"/>
    <w:rsid w:val="00FB2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14A00"/>
    <w:pPr>
      <w:ind w:firstLine="720"/>
      <w:jc w:val="both"/>
    </w:pPr>
    <w:rPr>
      <w:rFonts w:eastAsia="Calibri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14A00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1C6569"/>
    <w:rPr>
      <w:strike w:val="0"/>
      <w:dstrike w:val="0"/>
      <w:color w:val="055C7E"/>
      <w:u w:val="none"/>
      <w:effect w:val="none"/>
    </w:rPr>
  </w:style>
  <w:style w:type="paragraph" w:styleId="a6">
    <w:name w:val="header"/>
    <w:basedOn w:val="a"/>
    <w:link w:val="a7"/>
    <w:uiPriority w:val="99"/>
    <w:semiHidden/>
    <w:unhideWhenUsed/>
    <w:rsid w:val="00E44D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4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44D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4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90B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0B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npetrova</dc:creator>
  <cp:lastModifiedBy>smikova</cp:lastModifiedBy>
  <cp:revision>7</cp:revision>
  <cp:lastPrinted>2015-03-24T08:36:00Z</cp:lastPrinted>
  <dcterms:created xsi:type="dcterms:W3CDTF">2015-03-23T09:49:00Z</dcterms:created>
  <dcterms:modified xsi:type="dcterms:W3CDTF">2015-04-02T07:34:00Z</dcterms:modified>
</cp:coreProperties>
</file>